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3" w:rsidRPr="00F34EE9" w:rsidRDefault="009B10F3" w:rsidP="009B10F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34EE9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:rsidR="009B10F3" w:rsidRDefault="009B10F3" w:rsidP="009B10F3">
      <w:pPr>
        <w:spacing w:after="0" w:line="240" w:lineRule="auto"/>
        <w:ind w:left="5103"/>
        <w:rPr>
          <w:rStyle w:val="fontstyle01"/>
          <w:rFonts w:ascii="Times New Roman" w:hAnsi="Times New Roman" w:cs="Times New Roman"/>
          <w:b w:val="0"/>
          <w:lang w:val="ru-RU"/>
        </w:rPr>
      </w:pPr>
      <w:r w:rsidRPr="00F34EE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F34EE9">
        <w:rPr>
          <w:rStyle w:val="fontstyle01"/>
          <w:rFonts w:ascii="Times New Roman" w:hAnsi="Times New Roman" w:cs="Times New Roman"/>
        </w:rPr>
        <w:t xml:space="preserve">рішення </w:t>
      </w:r>
      <w:proofErr w:type="spellStart"/>
      <w:r w:rsidRPr="00F34EE9">
        <w:rPr>
          <w:rStyle w:val="fontstyle01"/>
          <w:rFonts w:ascii="Times New Roman" w:hAnsi="Times New Roman" w:cs="Times New Roman"/>
        </w:rPr>
        <w:t>Великосеверинівської</w:t>
      </w:r>
      <w:proofErr w:type="spellEnd"/>
      <w:r w:rsidRPr="00F34EE9">
        <w:rPr>
          <w:rStyle w:val="fontstyle01"/>
          <w:rFonts w:ascii="Times New Roman" w:hAnsi="Times New Roman" w:cs="Times New Roman"/>
        </w:rPr>
        <w:t xml:space="preserve"> сільської ради</w:t>
      </w:r>
    </w:p>
    <w:p w:rsidR="009B10F3" w:rsidRPr="009B10F3" w:rsidRDefault="009B10F3" w:rsidP="009B10F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Style w:val="fontstyle01"/>
          <w:rFonts w:ascii="Times New Roman" w:hAnsi="Times New Roman" w:cs="Times New Roman"/>
          <w:b w:val="0"/>
          <w:lang w:val="ru-RU"/>
        </w:rPr>
        <w:t>«27</w:t>
      </w:r>
      <w:r w:rsidRPr="00F34E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</w:rPr>
        <w:t>_2017 №</w:t>
      </w:r>
      <w:r>
        <w:rPr>
          <w:rFonts w:ascii="Times New Roman" w:hAnsi="Times New Roman" w:cs="Times New Roman"/>
          <w:sz w:val="28"/>
          <w:szCs w:val="28"/>
          <w:lang w:val="ru-RU"/>
        </w:rPr>
        <w:t>187</w:t>
      </w:r>
    </w:p>
    <w:p w:rsidR="009B10F3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8975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ПРОГРАМА </w:t>
      </w: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реформування і розвитку житлово-комунального господарства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Великосеверинівської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на 2018 – 2020 роки</w:t>
      </w: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8975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Паспорт програми</w:t>
      </w:r>
    </w:p>
    <w:p w:rsidR="009B10F3" w:rsidRPr="008975C8" w:rsidRDefault="009B10F3" w:rsidP="009B10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9B10F3" w:rsidRPr="008975C8" w:rsidTr="004E4BA7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рограма</w:t>
            </w:r>
          </w:p>
          <w:p w:rsidR="009B10F3" w:rsidRPr="008975C8" w:rsidRDefault="009B10F3" w:rsidP="004E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hAnsi="Times New Roman" w:cs="Times New Roman"/>
                <w:sz w:val="28"/>
                <w:szCs w:val="28"/>
              </w:rPr>
              <w:t xml:space="preserve">реформування і розвитку житлово-комунального господарства </w:t>
            </w:r>
            <w:proofErr w:type="spellStart"/>
            <w:r w:rsidRPr="008975C8">
              <w:rPr>
                <w:rFonts w:ascii="Times New Roman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8975C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на 2018 – 2020 роки</w:t>
            </w:r>
          </w:p>
          <w:p w:rsidR="009B10F3" w:rsidRPr="008975C8" w:rsidRDefault="009B10F3" w:rsidP="004E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B10F3" w:rsidRPr="008975C8" w:rsidRDefault="009B10F3" w:rsidP="004E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B10F3" w:rsidRPr="008975C8" w:rsidTr="004E4BA7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Апарат </w:t>
            </w:r>
            <w:proofErr w:type="spellStart"/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Великосеверинівської</w:t>
            </w:r>
            <w:proofErr w:type="spellEnd"/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сільської ради</w:t>
            </w:r>
          </w:p>
        </w:tc>
      </w:tr>
      <w:tr w:rsidR="009B10F3" w:rsidRPr="008975C8" w:rsidTr="004E4BA7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Апарат </w:t>
            </w:r>
            <w:proofErr w:type="spellStart"/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Великосеверинівської</w:t>
            </w:r>
            <w:proofErr w:type="spellEnd"/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сільської ради</w:t>
            </w:r>
          </w:p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B10F3" w:rsidRPr="008975C8" w:rsidTr="004E4BA7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Великосеверинівська</w:t>
            </w:r>
            <w:proofErr w:type="spellEnd"/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сільська рада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</w:p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ЖКП «СЕВЕРИНПАРКСЕРВІС»</w:t>
            </w: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</w:tc>
      </w:tr>
      <w:tr w:rsidR="009B10F3" w:rsidRPr="008975C8" w:rsidTr="004E4BA7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реформування житлово-комунального господарства, здійснення заходів щодо підвищення ефективності та надійності його функціонування,  забезпечення  сталого  розвитку  для  задоволення потреб населення і господарського комплексу в  житлово-комунальних послугах  відповідно  до  встановлених  нормативів  і національних стандартів.</w:t>
            </w:r>
          </w:p>
        </w:tc>
      </w:tr>
      <w:tr w:rsidR="009B10F3" w:rsidRPr="008975C8" w:rsidTr="004E4BA7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8 - 2020</w:t>
            </w: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оки</w:t>
            </w:r>
          </w:p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B10F3" w:rsidRPr="008975C8" w:rsidTr="004E4BA7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975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B10F3" w:rsidRPr="008975C8" w:rsidRDefault="009B10F3" w:rsidP="004E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6200,0 </w:t>
            </w: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тис. грн. </w:t>
            </w:r>
            <w:r w:rsidRPr="00897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</w:tbl>
    <w:p w:rsidR="009B10F3" w:rsidRPr="008975C8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B10F3" w:rsidRPr="008975C8" w:rsidRDefault="009B10F3" w:rsidP="009B10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B10F3" w:rsidRPr="008975C8" w:rsidRDefault="009B10F3" w:rsidP="009B10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975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_____________________________________________</w:t>
      </w:r>
    </w:p>
    <w:p w:rsidR="009B10F3" w:rsidRPr="008975C8" w:rsidRDefault="009B10F3" w:rsidP="009B10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B10F3" w:rsidRPr="008975C8" w:rsidRDefault="009B10F3" w:rsidP="009B10F3">
      <w:pPr>
        <w:rPr>
          <w:rFonts w:eastAsia="Times New Roman" w:cs="Times New Roman"/>
          <w:color w:val="auto"/>
          <w:sz w:val="20"/>
          <w:szCs w:val="20"/>
          <w:vertAlign w:val="superscript"/>
          <w:lang w:eastAsia="en-US"/>
        </w:rPr>
      </w:pPr>
      <w:r w:rsidRPr="008975C8">
        <w:rPr>
          <w:rFonts w:eastAsia="Times New Roman" w:cs="Times New Roman"/>
          <w:color w:val="auto"/>
          <w:sz w:val="20"/>
          <w:szCs w:val="20"/>
          <w:vertAlign w:val="superscript"/>
          <w:lang w:eastAsia="en-US"/>
        </w:rPr>
        <w:t>______________________________</w:t>
      </w:r>
    </w:p>
    <w:p w:rsidR="009B10F3" w:rsidRPr="008975C8" w:rsidRDefault="009B10F3" w:rsidP="009B10F3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8975C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US"/>
        </w:rPr>
        <w:lastRenderedPageBreak/>
        <w:t>1</w:t>
      </w:r>
      <w:r w:rsidRPr="008975C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9B10F3" w:rsidRPr="00F34EE9" w:rsidRDefault="009B10F3" w:rsidP="009B10F3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B10F3" w:rsidRDefault="009B10F3" w:rsidP="009B10F3">
      <w:pPr>
        <w:widowControl w:val="0"/>
        <w:spacing w:after="0" w:line="240" w:lineRule="auto"/>
        <w:ind w:firstLine="567"/>
        <w:contextualSpacing/>
        <w:jc w:val="center"/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</w:pPr>
    </w:p>
    <w:p w:rsidR="009B10F3" w:rsidRPr="00A82C3A" w:rsidRDefault="009B10F3" w:rsidP="009B10F3">
      <w:pPr>
        <w:widowControl w:val="0"/>
        <w:spacing w:after="0" w:line="240" w:lineRule="auto"/>
        <w:ind w:firstLine="567"/>
        <w:contextualSpacing/>
        <w:jc w:val="center"/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</w:pPr>
      <w:bookmarkStart w:id="0" w:name="_GoBack"/>
      <w:bookmarkEnd w:id="0"/>
      <w:r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 xml:space="preserve">1. Визначення проблеми, на розв’язання якої спрямована </w:t>
      </w:r>
      <w:r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П</w:t>
      </w:r>
      <w:r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рограма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Нинішній стан житлово-комунального господарства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громади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свідчить про необхідність реформування цієї галузі.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Дана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розроблена з метою підвищення ефективності та надійності функціонування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 підприємства «СЕВЕРИНПАРКСЕРВІС»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поліпшення якості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 з одночасним зниженням нераціональних витрат. 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Програми передбачає: 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ринку житлово-комунальних послуг, удосконалення тарифної політики; 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ефективної інвестиційної політики в галузі житлово-комунального господарства; 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запровадження стимулів до економного і раціонального господарювання та використання ресурсів; </w:t>
      </w:r>
    </w:p>
    <w:p w:rsidR="009B10F3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прозорість у прийнятті рішень щодо реформування житлово-комунального господарства, розвитку комунальних послуг та встановлення тарифів на них, залучення громадськості до проведення цих заходів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доступність житлово-комунальних послуг для громадян з низьким рівнем доходів, адресний соціальний захист населення в оплаті послуг. </w:t>
      </w:r>
    </w:p>
    <w:p w:rsidR="009B10F3" w:rsidRPr="004472CD" w:rsidRDefault="009B10F3" w:rsidP="009B10F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B10F3" w:rsidRPr="005E69D3" w:rsidRDefault="009B10F3" w:rsidP="009B10F3">
      <w:pPr>
        <w:pStyle w:val="40"/>
        <w:shd w:val="clear" w:color="auto" w:fill="auto"/>
        <w:spacing w:after="0" w:line="280" w:lineRule="exact"/>
        <w:ind w:firstLine="567"/>
        <w:rPr>
          <w:sz w:val="28"/>
          <w:szCs w:val="28"/>
          <w:lang w:eastAsia="ru-RU"/>
        </w:rPr>
      </w:pPr>
      <w:r w:rsidRPr="00F13489">
        <w:rPr>
          <w:sz w:val="28"/>
          <w:szCs w:val="28"/>
        </w:rPr>
        <w:t xml:space="preserve">2. </w:t>
      </w:r>
      <w:proofErr w:type="spellStart"/>
      <w:r w:rsidRPr="005E69D3">
        <w:rPr>
          <w:sz w:val="28"/>
          <w:szCs w:val="28"/>
          <w:lang w:eastAsia="ru-RU"/>
        </w:rPr>
        <w:t>Сучасний</w:t>
      </w:r>
      <w:proofErr w:type="spellEnd"/>
      <w:r w:rsidRPr="005E69D3">
        <w:rPr>
          <w:sz w:val="28"/>
          <w:szCs w:val="28"/>
          <w:lang w:eastAsia="ru-RU"/>
        </w:rPr>
        <w:t xml:space="preserve"> стан </w:t>
      </w:r>
      <w:proofErr w:type="spellStart"/>
      <w:r w:rsidRPr="005E69D3">
        <w:rPr>
          <w:sz w:val="28"/>
          <w:szCs w:val="28"/>
          <w:lang w:eastAsia="ru-RU"/>
        </w:rPr>
        <w:t>житлово-комунального</w:t>
      </w:r>
      <w:proofErr w:type="spellEnd"/>
      <w:r w:rsidRPr="005E69D3">
        <w:rPr>
          <w:sz w:val="28"/>
          <w:szCs w:val="28"/>
          <w:lang w:eastAsia="ru-RU"/>
        </w:rPr>
        <w:t xml:space="preserve"> </w:t>
      </w:r>
      <w:proofErr w:type="spellStart"/>
      <w:r w:rsidRPr="005E69D3">
        <w:rPr>
          <w:sz w:val="28"/>
          <w:szCs w:val="28"/>
          <w:lang w:eastAsia="ru-RU"/>
        </w:rPr>
        <w:t>господарства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об’єднаної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громади</w:t>
      </w:r>
      <w:proofErr w:type="spellEnd"/>
    </w:p>
    <w:p w:rsidR="009B10F3" w:rsidRPr="005E69D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Житлово-комунальне господарство, як основа соціальної сфери життя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 громадянина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є однією з найменш сучасно оснащених галузей господарства. Кризові явища в суспільстві та залишковий принцип фінансування галузі призвели до подальшого суттєвого загострення її проблем. Ситуація в житлово-комунальному господарстві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громади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продовжує ускладнюватися, відсутні позитивні зміни у становленні ринкових засад господарювання, розвитку конкуренції. Нестача власних та бюджетних фінансових ресурсів, відсутність дієвого механізму залучення позабюджетних коштів не сприяють вирішенню завдань з технічного переоснащення житлово-комунальн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«СЕВЕРИНПАРКСЕРВІС»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розвитку комунальної інфраструктури.</w:t>
      </w:r>
    </w:p>
    <w:p w:rsidR="009B10F3" w:rsidRPr="005E69D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F3" w:rsidRPr="005E69D3" w:rsidRDefault="009B10F3" w:rsidP="009B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Житловий фонд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фонд 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громади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багатоквартирний житловий будинок (Будинок вчителя)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Центральна, 52;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багатоквартирний житловий будинок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Паркова, 9;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багатоквартирний житловий будинок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багатоквартирний житловий будинок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пров. Тарана, 2;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багатоквартирний житловий будинок с. Велика Северинка, вул. Миру 3;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багатоквартирний житловий будинок с. Велика Северинка, вул. Миру 5;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багатоквартирний житловий будинок с. Велика Северинка, вул. Миру 7.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на балансі об’єднаної громади знаходиться: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багатоквартирний житловий будинок (Будинок вчителя)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Центральна, 52;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будинки знаходяться на балансі господарюючих структур.</w:t>
      </w:r>
    </w:p>
    <w:p w:rsidR="009B10F3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житла у приватну власність громадян з балансів господарюючих структур призвела до спільного володіння власниками багатоквартирних житлових будинків нежилими приміщеннями та загальними конструкціями будівель. Капітальні ремонти в таких будинках не проводяться у зв’язку з відсутністю коштів у мешканців цих будинків та можливості надання фінансової підтримки за рахунок бюджетних коштів.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сучасних умовах ринкових стосунків таке житло стає аварійним.</w:t>
      </w:r>
    </w:p>
    <w:p w:rsidR="009B10F3" w:rsidRPr="005E69D3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Альтернативним варіантом утримання і експлуатації житла, а також реалізації права громадян щодо їх участі у місцевому самоврядуванні є створення об'єднань співвласників багатоквартирних будинків,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суб'єктів підприємницької діяльності, як фізичних так і юридичних осіб. 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даний час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громади створено: 1 об’єднання співвласників багатоквартирного будинку та 1 громадське об’єднання для утримання та управління багатоквартирного будинку.</w:t>
      </w:r>
    </w:p>
    <w:p w:rsidR="009B10F3" w:rsidRPr="005E69D3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10F3" w:rsidRPr="005E69D3" w:rsidRDefault="009B10F3" w:rsidP="009B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Водопостачання і водовідведення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питною водою є однією з пріоритетних проблем, розв’язання яких необхідно для збереження здоров’я, поліпшення умов діяльності і підвищення рівня життя населення.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стан водопровідного господарства характеризується дефіцитом фінансових ресурсів, необхідних для належної експлуатації та обслуговування системи водопостачання, недосконалістю управлінської діяльності та відсутністю прогнозованих економічних показників щодо ефективності її використання.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Ситуація з водопостачанням сільських населених пунктів вкрай незадовільна.  На території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знаходиться 42 криниці, 16 з яких знаходяться в непридатному та аварійному стані. Довжина водопровідних мереж становить 14,9 км. У наявності 3 водозабірних свердловини, з яких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експлуатуються тому, що знаходяться у несправному стані або через відсутність насосно-силового обладнання. Населення користується водою із шахтних та трубчатих колодязів, які забруднюються фільтруючими поверхневими водами.</w:t>
      </w:r>
    </w:p>
    <w:p w:rsidR="009B10F3" w:rsidRPr="005E69D3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Внаслідок цього виникла гостра потреба в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 населення високоякісною питною водою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проведення капітального ремонту системи водопостачання в с. Велика Северинка та встановлення засобів обліку для забезпечення ощадливого споживання води. А також проведення очисних робіт в громадських колодязях територіальної громади та приведення їх у належний стан.</w:t>
      </w:r>
    </w:p>
    <w:p w:rsidR="009B10F3" w:rsidRPr="005E69D3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F3" w:rsidRPr="005E69D3" w:rsidRDefault="009B10F3" w:rsidP="009B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5E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Комунальне господарство та благоустрій населених пунктів </w:t>
      </w:r>
    </w:p>
    <w:p w:rsidR="009B10F3" w:rsidRPr="00AE5F9A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Рівень благоустрою населених пунктів та технічний стан його елементів  сільської ради не відповідає сучасним вимогам в зв’язку з недостатнім фінансуванням та неефективною моделлю управління. Відсутній чіткий план дій та розвитку житлово-комунального підприємства, н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 до кінця вирішене питання модернізації обладнання існуючої мережі зовнішнього освітлення, перехід до сучасних </w:t>
      </w:r>
      <w:proofErr w:type="spellStart"/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енергоощадних</w:t>
      </w:r>
      <w:proofErr w:type="spellEnd"/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технологій. </w:t>
      </w:r>
      <w:r w:rsidRPr="00AE5F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тривалого часу через недостатнє фінансування не здійснювався належний ремонт доріг, не витримувалися міжремонтні терміни,  тому значна кількість доріг знаходиться в незадовільному технічному стані. </w:t>
      </w:r>
    </w:p>
    <w:p w:rsidR="009B10F3" w:rsidRPr="005E69D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Несанкціоноване розміщення твердих побутових відходів є суттєвим чинником негативного впливу на земельні, водні та лісові ресурси і здоров’я людей. Масові накопичення побутового сміття в лісозахисних смугах вздовж автомобільних дор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іг та 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лісонасадженнях та поблизу водоймищ, в зоні житлової забудови є одним із потенційних джерел забруднення довкілля і підлягають терміновій утилізації.</w:t>
      </w:r>
    </w:p>
    <w:p w:rsidR="009B10F3" w:rsidRPr="005E69D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Видалення дерев, що досягли вікової межі, аварійних та фаутних дерев а також відновлення зелених насаджень  не носить системного характеру. Існує потреба у влаштуванні парків, скверів, розширенні зелених зон та місць для відпочинку </w:t>
      </w:r>
      <w:proofErr w:type="spellStart"/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громадян.Окремої</w:t>
      </w:r>
      <w:proofErr w:type="spellEnd"/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уваги потребує стан під’їзних шляхів до кладовищ.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території громади налічується 11 кладовищ, які знаходяться у комунальній власності, з них: 9 – діючих кладовищ, 2 – закритих кладовища.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B10F3" w:rsidRPr="00AE5F9A" w:rsidRDefault="009B10F3" w:rsidP="009B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Мета Програми та основні завдання реформування житлово-комунального господарства об’єднаної громади</w:t>
      </w:r>
    </w:p>
    <w:p w:rsidR="009B10F3" w:rsidRPr="00AE5F9A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 Програми  полягає  у  визначенні  засад  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 забезпечення  сталого  розвитку  для  задоволення потреб населення і відповідно  до  встановлених  нормативів  і національних стандартів.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9"/>
      <w:bookmarkStart w:id="2" w:name="30"/>
      <w:bookmarkEnd w:id="1"/>
      <w:bookmarkEnd w:id="2"/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досягнення мети реформування галузі необхідно вирішити питання щодо: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розроблення довгострокового плану благоустрою території;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розроблення методики визначення нормативів фінансування витрат, пов’язаних з ремонтними та іншими господарськими роботами, які необхідно провести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розроблення Програми пов’язаної з утриманням та ремонтом доріг;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4)розроблення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заощадливого споживання;</w:t>
      </w:r>
    </w:p>
    <w:p w:rsidR="009B10F3" w:rsidRPr="00AE5F9A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bookmarkStart w:id="3" w:name="33"/>
      <w:bookmarkStart w:id="4" w:name="34"/>
      <w:bookmarkEnd w:id="3"/>
      <w:bookmarkEnd w:id="4"/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захисту прав споживачів, підвищення рівня забезпеченості населення житлово-комунальними послугами в необхідних обсягах, високої якості та за доступними цінами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35"/>
      <w:bookmarkStart w:id="6" w:name="41"/>
      <w:bookmarkStart w:id="7" w:name="42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поліпшення якості управління комунальною інфраструктурою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0F3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поводження з твердими побутовими відходами та ліквідації стихійних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0F3" w:rsidRPr="00AE5F9A" w:rsidRDefault="009B10F3" w:rsidP="009B1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створення </w:t>
      </w:r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 для розвитку, оновлення та ефективного функціонування всіх об'єктів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</w:t>
      </w:r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підприємств і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ганізацій різних форм власності.</w:t>
      </w:r>
    </w:p>
    <w:p w:rsidR="009B10F3" w:rsidRPr="00AE5F9A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43"/>
      <w:bookmarkEnd w:id="8"/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50"/>
      <w:bookmarkEnd w:id="9"/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Передбачається здійснення заходів Програми в таких сферах: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благоустрою  та озеленення об’єднаної громади;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ремонту приміщень, будинків, споруд, що знаходяться у комунальній власності сільської ради;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водопостачання та належне утримання громадських колодязів;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утримання та ремонт доріг комунальної власності;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поводження з твердими побутовими відходами;</w:t>
      </w:r>
    </w:p>
    <w:p w:rsidR="009B10F3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ліквідація стихійних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0F3" w:rsidRPr="00AE5F9A" w:rsidRDefault="009B10F3" w:rsidP="009B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F3" w:rsidRPr="00A82C3A" w:rsidRDefault="009B10F3" w:rsidP="009B10F3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bookmarkStart w:id="10" w:name="51"/>
      <w:bookmarkStart w:id="11" w:name="52"/>
      <w:bookmarkStart w:id="12" w:name="53"/>
      <w:bookmarkStart w:id="13" w:name="57"/>
      <w:bookmarkStart w:id="14" w:name="58"/>
      <w:bookmarkEnd w:id="10"/>
      <w:bookmarkEnd w:id="11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4</w:t>
      </w:r>
      <w:r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. Заходи по забезпеченню виконання </w:t>
      </w:r>
      <w:r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П</w:t>
      </w:r>
      <w:r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рограми </w:t>
      </w:r>
    </w:p>
    <w:p w:rsidR="009B10F3" w:rsidRPr="00DE41CD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заходами</w:t>
      </w: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є :</w:t>
      </w:r>
    </w:p>
    <w:p w:rsidR="009B10F3" w:rsidRPr="00DE41CD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удосконалення системи управління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житлово-комунальним </w:t>
      </w: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«СЕВЕРИНПАРКСЕРВІС»;</w:t>
      </w:r>
    </w:p>
    <w:p w:rsidR="009B10F3" w:rsidRPr="00DE41CD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беззбитк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функціонування ЖКП «СЕВЕРИНПАРКСЕРВІС»</w:t>
      </w: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прозорій економічно обґрунтованій системі визначення рівня тарифів на послуги; </w:t>
      </w:r>
    </w:p>
    <w:p w:rsidR="009B10F3" w:rsidRPr="00DE41CD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підвищення ефективності використання енергетичних та матеріальних ресурсів; </w:t>
      </w:r>
    </w:p>
    <w:p w:rsidR="009B10F3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технічне переоснащення житлово-комунального господарства,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закупівля господарської техніки, машин та механізмів;</w:t>
      </w:r>
    </w:p>
    <w:p w:rsidR="009B10F3" w:rsidRPr="00DE41CD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комплексний благоустрій території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об’єднаної громади</w:t>
      </w:r>
      <w:r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запровадження енергозберігаючих технологій і засобів управління зовнішнім освітленням,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оновлення</w:t>
      </w:r>
      <w:r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зелених насаджень, запровадження передової техніки і технологій, направлених на підвищення якості робіт, економію матеріалів, коштів, енергоресурсів. </w:t>
      </w:r>
    </w:p>
    <w:p w:rsidR="009B10F3" w:rsidRPr="00DE41CD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залучення інвестицій і співпраця з донорськими організаціями; </w:t>
      </w:r>
    </w:p>
    <w:p w:rsidR="009B10F3" w:rsidRPr="00DE41CD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залучення громадськості до процесів формування та реформування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їх участі у громадському проекті: написанні відповідних проектів та внесення ініціатив</w:t>
      </w: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управління повинна об'єднати зусилля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«СЕВЕРИНПАРКСЕРВІС»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реформування та ефективного функціонування галузі в умовах ринкової економіки. 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ершочерговими заходами реформування галузі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розробка і затвердження тарифів на відповідні житлово-комунальні послуги, які мають надаватись ЖКП «СЕВЕРИНПАРКСЕРВІС», визначення першочергового обсягу робіт, залучення кваліфікованих робітничих кадрів, інформування громадськості про можливість користування послугами житлово-комунального підприємства. 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 управління діяльністю житлово-комунальн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 розроблення виробничої та інвестиційної програм, формування та встановлення тарифів як засобу фінансового забезпечення цих програм; запровадження моніторингу діяльності підприємств, що дасть можливість виконавчому комітету реалізувати свої повноваження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галузі житлово-комунального господарства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Вироблення гнучкої та ефективної тарифної політики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ЖКП «СЕВЕРИНПАРКСЕРВІС»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сучасному етапі реформування житлово-комунального господарства повинно ґрунтуватися на таких основних принципах: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розрахунку тарифів на послуги, що підлягають регулюванню, для забезпечення повного відшкодування операційних та капітальних витрат;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залученням громадськості до процесу  встановлення тарифів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проведення відповідних інформаційно-роз’яснювальних кампаній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10F3" w:rsidRDefault="009B10F3" w:rsidP="009B10F3">
      <w:pPr>
        <w:widowControl w:val="0"/>
        <w:spacing w:after="1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uk-UA"/>
        </w:rPr>
      </w:pPr>
    </w:p>
    <w:p w:rsidR="009B10F3" w:rsidRDefault="009B10F3" w:rsidP="009B10F3">
      <w:pPr>
        <w:widowControl w:val="0"/>
        <w:spacing w:after="1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F3" w:rsidRPr="00D64DC1" w:rsidRDefault="009B10F3" w:rsidP="009B10F3">
      <w:pPr>
        <w:widowControl w:val="0"/>
        <w:spacing w:after="1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Ресурсне забезпечення реалізації Програми</w:t>
      </w:r>
    </w:p>
    <w:p w:rsidR="009B10F3" w:rsidRPr="0015669E" w:rsidRDefault="009B10F3" w:rsidP="009B10F3">
      <w:pPr>
        <w:widowControl w:val="0"/>
        <w:spacing w:after="1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Програми здійснюється за рахунок коштів:  Державного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коштів підприємств,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 та організацій всіх форм власності,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джерел, не заборонених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Загальні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обсяги фінансування, в тому числі 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сільського 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бюджету: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2,7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млн. грн.  в 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ому </w:t>
      </w:r>
      <w:proofErr w:type="spellStart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ислісільський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бюджет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1,4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млн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грн.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інші джерела – 1,3 млн. грн.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1,7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млн. грн.  в 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числісільський</w:t>
      </w:r>
      <w:proofErr w:type="spellEnd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бюджет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1,4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млн</w:t>
      </w:r>
      <w:proofErr w:type="spellEnd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грн.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1,8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млн. грн.  в 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числісільський</w:t>
      </w:r>
      <w:proofErr w:type="spellEnd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бюджет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1,5</w:t>
      </w:r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млн</w:t>
      </w:r>
      <w:proofErr w:type="spellEnd"/>
      <w:r w:rsidRP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грн.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Кошти ,передбачені цією Програмою, підлягають щорічному коригуванню на прогнозний індекс інфляції під час формування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F3" w:rsidRPr="00A82C3A" w:rsidRDefault="009B10F3" w:rsidP="009B10F3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15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5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5066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.</w:t>
      </w:r>
      <w:r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 Очікувані результати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Основною умовою реалізації Програми є консолідація та спрямування дій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виконавчого комітету, житлово-комунальн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підприємства «СЕВЕРИНПАРКСЕРВІС»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створення дієвої системи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управління та сприятливого середовища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ефективного результату роботи.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Виконання Програми дасть можливість: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реалізацію державної політики щодо регіонального розвитку, насамперед у сфері житлово-комунального господарства;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сприятливі умови для накопичення ресурсів з метою технічного переоснащення </w:t>
      </w:r>
      <w:proofErr w:type="spellStart"/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«СЕВЕРИНПАРКСЕРВІС»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розвитку </w:t>
      </w:r>
      <w:proofErr w:type="spellStart"/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комунальноїінфраструктури</w:t>
      </w:r>
      <w:proofErr w:type="spellEnd"/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10F3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сприятливі умови для залучення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додаткових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 у розвиток об'єктів житлово-комунального господарства та ефективний механізм подальшого його реформування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забезпечити поступове відновлення сфери благоустрою території та впорядкування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комунально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власності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умовах фінансування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бюджету та інших джерел, незаборонених законодавством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10F3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сталу та ефективну роботу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ЖКП «СЕВЕРИНПАРКСЕРВІС»;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надання населенню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 з поточних видів ремонтних робіт та робіт по благоустрою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прозорість у формуванні тарифної та цінової політики на послуги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 рівень мотивації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використання послуг саме ЖКП «СЕВЕРИНПАРКСЕРВІС»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до матеріальних благ як стимул до зростання продуктивності праці і поліпшення якості робочої сили); </w:t>
      </w:r>
    </w:p>
    <w:p w:rsidR="009B10F3" w:rsidRPr="0015669E" w:rsidRDefault="009B10F3" w:rsidP="009B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широку суспільну підтримку виконання основних завдань у рамках реформи житлово-комунального господарства.</w:t>
      </w:r>
    </w:p>
    <w:p w:rsidR="009B10F3" w:rsidRPr="0015669E" w:rsidRDefault="009B10F3" w:rsidP="009B10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B10F3" w:rsidRPr="00A82C3A" w:rsidRDefault="009B10F3" w:rsidP="009B10F3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</w:rPr>
        <w:t>7</w:t>
      </w:r>
      <w:r w:rsidRPr="00A82C3A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</w:rPr>
        <w:t>.</w:t>
      </w:r>
      <w:r w:rsidRPr="00A82C3A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 xml:space="preserve"> Координація та контроль за реалізацією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>П</w:t>
      </w:r>
      <w:r w:rsidRPr="00A82C3A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>рограми</w:t>
      </w:r>
    </w:p>
    <w:p w:rsidR="009B10F3" w:rsidRPr="0081759A" w:rsidRDefault="009B10F3" w:rsidP="009B10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Контроль за виконанням П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здійснюється виконавчим комітетом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та 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постійн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ою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депутатськ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ою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єю</w:t>
      </w:r>
      <w:r w:rsidRPr="0081759A">
        <w:rPr>
          <w:rFonts w:ascii="Times New Roman" w:hAnsi="Times New Roman" w:cs="Times New Roman"/>
          <w:sz w:val="28"/>
          <w:szCs w:val="28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Щорічно до 10 грудня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</w:rPr>
        <w:t xml:space="preserve">земельних відносин, комунальної власності, інфраструктури та житлово-комунального господарства сільської ради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звітує про стан виконання Програми та запланованих щорічних заходів щодо реалізації її положень на сесії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сайті сільської ради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0F3" w:rsidRPr="0015669E" w:rsidRDefault="009B10F3" w:rsidP="009B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використанням бюджетних коштів, спрямованих на забезпечення виконання Програми, здійснюється у встановленому законодавством порядку. </w:t>
      </w:r>
    </w:p>
    <w:p w:rsidR="009B10F3" w:rsidRPr="0015669E" w:rsidRDefault="009B10F3" w:rsidP="009B10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B10F3" w:rsidRPr="0015669E" w:rsidRDefault="009B10F3" w:rsidP="009B10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B10F3" w:rsidRPr="0015669E" w:rsidRDefault="009B10F3" w:rsidP="009B10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90481" w:rsidRDefault="009B10F3" w:rsidP="009B10F3"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__________________________</w:t>
      </w:r>
    </w:p>
    <w:sectPr w:rsidR="00890481" w:rsidSect="0089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F3"/>
    <w:rsid w:val="00890481"/>
    <w:rsid w:val="009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0F3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10F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basedOn w:val="a0"/>
    <w:link w:val="40"/>
    <w:rsid w:val="009B10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10F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lang w:val="ru-RU" w:eastAsia="en-US"/>
    </w:rPr>
  </w:style>
  <w:style w:type="paragraph" w:styleId="a3">
    <w:name w:val="Normal (Web)"/>
    <w:basedOn w:val="a"/>
    <w:rsid w:val="009B10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2306</Words>
  <Characters>13145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2017-11-07T19:55:00Z</dcterms:created>
  <dcterms:modified xsi:type="dcterms:W3CDTF">2017-11-07T19:56:00Z</dcterms:modified>
</cp:coreProperties>
</file>