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9F" w:rsidRDefault="00F8359F" w:rsidP="00F83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359F" w:rsidRPr="00900BB6" w:rsidRDefault="00F8359F" w:rsidP="00F8359F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Pr="00900BB6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Додаток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2</w:t>
      </w:r>
    </w:p>
    <w:p w:rsidR="00F8359F" w:rsidRPr="00900BB6" w:rsidRDefault="00F8359F" w:rsidP="00F8359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900BB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F8359F" w:rsidRPr="00900BB6" w:rsidRDefault="00F8359F" w:rsidP="00F8359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proofErr w:type="spellStart"/>
      <w:r w:rsidRPr="00900BB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900BB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F8359F" w:rsidRPr="00900BB6" w:rsidRDefault="00F8359F" w:rsidP="00F8359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30 березня 2018 року № 16</w:t>
      </w:r>
    </w:p>
    <w:p w:rsidR="00F8359F" w:rsidRDefault="00F8359F" w:rsidP="00F83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359F" w:rsidRDefault="00F8359F" w:rsidP="00F83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комісію з питань реалізації державної регул</w:t>
      </w:r>
      <w:proofErr w:type="spellStart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яторної</w:t>
      </w:r>
      <w:proofErr w:type="spellEnd"/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політики</w:t>
      </w:r>
      <w:proofErr w:type="spellEnd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Великосеверинівської</w:t>
      </w:r>
      <w:proofErr w:type="spellEnd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ОТГ</w:t>
      </w: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8359F" w:rsidRPr="008A15E8" w:rsidRDefault="00F8359F" w:rsidP="00F8359F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1.</w:t>
      </w:r>
      <w:r w:rsidRPr="008A15E8">
        <w:rPr>
          <w:rFonts w:ascii="Times New Roman" w:eastAsia="Times New Roman" w:hAnsi="Times New Roman" w:cs="Times New Roman"/>
          <w:color w:val="000000"/>
          <w:lang w:val="uk-UA" w:eastAsia="ru-RU"/>
        </w:rPr>
        <w:t>Загальні положення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1.1.Комісія з питань реалізації державної регуляторної політики на території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Великосеверинівської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ОТГ 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 - Робоча комісія) є дорадчо-консультативним органом, створеним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приведення регуляторних актів, прийнятих сільською радою, її виконавчим комітетом, сільським головою, у відповідність до вимог ст. </w:t>
      </w:r>
      <w:r w:rsidRPr="008A1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hyperlink r:id="rId4" w:history="1">
        <w:r w:rsidRPr="008A15E8">
          <w:rPr>
            <w:rFonts w:ascii="Times New Roman" w:eastAsia="Times New Roman" w:hAnsi="Times New Roman" w:cs="Times New Roman"/>
            <w:bCs/>
            <w:spacing w:val="15"/>
            <w:sz w:val="28"/>
            <w:szCs w:val="28"/>
            <w:lang w:val="uk-UA" w:eastAsia="ru-RU"/>
          </w:rPr>
          <w:t>Закону України «Про засади державної регуляторної політики у сфері господарської діяльності»</w:t>
        </w:r>
      </w:hyperlink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запровадження демократичних принципів у сфері правового регулювання господарської діяльності у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Великосеверинівській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ОТГ.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1.2.Робоча комісія у своїй діяльності керується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8A15E8">
          <w:rPr>
            <w:rFonts w:ascii="Times New Roman" w:eastAsia="Times New Roman" w:hAnsi="Times New Roman" w:cs="Times New Roman"/>
            <w:bCs/>
            <w:spacing w:val="15"/>
            <w:sz w:val="28"/>
            <w:szCs w:val="28"/>
            <w:lang w:val="uk-UA" w:eastAsia="ru-RU"/>
          </w:rPr>
          <w:t>Конституцією України</w:t>
        </w:r>
      </w:hyperlink>
      <w:r w:rsidRPr="008A1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Законами України, Указами Президента України, постановами Кабінету Міністрів України, рішеннями сільської ради та її виконавчого комітету, розпорядженнями сільського голови.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1.3.Склад Робочої комісії затверджується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1.4.Це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функціональну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спрямованість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8359F" w:rsidRPr="00E53D97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Порядок утворення Робочої комісії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3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2.1.Комісія утворюється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2.2.До складу комісії мають право входити голови постійних депутатських комісії сільської ради, посадові особи виконавчого комітету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Великосеверинівської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ради,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представники об'єднань суб'єктів господарювання, об'єднань роботодавців, громадських організацій споживачів (об'єднань споживачів), окремі фахівці (за згодою) та відповідно розроб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ники проекту регуляторного акту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Функції та повноваження Робочої комісії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3.1.Комісія з питань реалізації державної регуляторної політики: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3.1.1.Визначає строки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3.1.2.Проводить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чинних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ісцевого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3.1.3.За результатами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нормативно-правових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359F" w:rsidRPr="008A15E8" w:rsidRDefault="00F8359F" w:rsidP="00F83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59F" w:rsidRPr="008A15E8" w:rsidRDefault="00F8359F" w:rsidP="00F83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такими,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втратили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скасування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59F" w:rsidRPr="008A15E8" w:rsidRDefault="00F8359F" w:rsidP="00F83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3.1.4.Подає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складені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ському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скасування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вказаних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3.1.5.Забезпечує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експертного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висновку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внесеного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регуляторного акту,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та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підписаним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аналізом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 Порядок роботи Робочої комісії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4.1.Засідання комісії скликається не пізніше, ніж за 3 робочих дні до початку засідання. 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4.2.Засідання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повноважним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не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половина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4.3.Засідання комісії веде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</w:t>
      </w: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 разі його відсутності або неможливості ним виконувати свої повноваження з інших причин його функції виконує заступник голови комісії. </w:t>
      </w:r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головуючого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4.4.Рішення з питань діяльності комісії приймається більшістю від кількості присутніх членів комісії.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4.5.Член комісії, який бере участь у її засіданні і не згоден з рішенням, прийнятим на засіданні, в тому числі з рішенням щодо включення або не включення регуляторного акта до того або іншого переліку, має право висловити у письмовій формі окрему думку, яка додається до відповідного протоколу засідання комісії.</w:t>
      </w: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4.6.Протоколи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ідписують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голова, заступник та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8359F" w:rsidRPr="008A15E8" w:rsidRDefault="00F8359F" w:rsidP="00F83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Прикінцеві</w:t>
      </w:r>
      <w:proofErr w:type="spellEnd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proofErr w:type="gram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вносяться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59F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5.2.Організаційне забезпечення діяльності робочої групи здійснює виконавчий комітет </w:t>
      </w:r>
      <w:proofErr w:type="spellStart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Великосеверинівської</w:t>
      </w:r>
      <w:proofErr w:type="spellEnd"/>
      <w:r w:rsidRPr="008A1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ради.</w:t>
      </w:r>
    </w:p>
    <w:p w:rsidR="00F8359F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359F" w:rsidRDefault="00F8359F" w:rsidP="00F83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359F" w:rsidRPr="008A15E8" w:rsidRDefault="00F8359F" w:rsidP="00F835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</w:t>
      </w:r>
    </w:p>
    <w:p w:rsidR="00F8359F" w:rsidRPr="008A15E8" w:rsidRDefault="00F8359F" w:rsidP="00F835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359F" w:rsidRDefault="00F8359F" w:rsidP="00F835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359F" w:rsidRDefault="00F8359F" w:rsidP="00F835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359F" w:rsidRDefault="00F8359F" w:rsidP="00F835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359F" w:rsidRDefault="00F8359F" w:rsidP="00F835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359F" w:rsidRDefault="00F8359F" w:rsidP="00F835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359F"/>
    <w:rsid w:val="00180B24"/>
    <w:rsid w:val="003C506E"/>
    <w:rsid w:val="005D2981"/>
    <w:rsid w:val="005F40FA"/>
    <w:rsid w:val="00660D2A"/>
    <w:rsid w:val="00733EF6"/>
    <w:rsid w:val="007C6106"/>
    <w:rsid w:val="00F8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F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estr.tk/368862" TargetMode="External"/><Relationship Id="rId4" Type="http://schemas.openxmlformats.org/officeDocument/2006/relationships/hyperlink" Target="http://reestr.tk/368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2018-07-09T13:14:00Z</dcterms:created>
  <dcterms:modified xsi:type="dcterms:W3CDTF">2018-07-09T13:14:00Z</dcterms:modified>
</cp:coreProperties>
</file>