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1" w:rsidRPr="00E14441" w:rsidRDefault="00E14441" w:rsidP="00E1444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237" w:rsidRDefault="00D34237" w:rsidP="00D34237">
      <w:pPr>
        <w:spacing w:after="0" w:line="240" w:lineRule="auto"/>
        <w:jc w:val="right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                 Додаток № 1</w:t>
      </w:r>
    </w:p>
    <w:p w:rsidR="00D34237" w:rsidRDefault="00D34237" w:rsidP="00D34237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                до рішення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</w:t>
      </w:r>
    </w:p>
    <w:p w:rsidR="00D34237" w:rsidRDefault="00D34237" w:rsidP="00D34237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сільської ради </w:t>
      </w:r>
    </w:p>
    <w:p w:rsidR="00D34237" w:rsidRDefault="00D34237" w:rsidP="00D34237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від 29 травня 2018 року</w:t>
      </w:r>
    </w:p>
    <w:p w:rsidR="00D34237" w:rsidRDefault="00D34237" w:rsidP="00D34237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№ 457</w:t>
      </w:r>
    </w:p>
    <w:p w:rsidR="00D34237" w:rsidRDefault="00D34237" w:rsidP="00D34237">
      <w:pPr>
        <w:spacing w:after="0" w:line="240" w:lineRule="auto"/>
        <w:jc w:val="right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Pr="00C57FFD" w:rsidRDefault="00D34237" w:rsidP="00D34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ПОЛОЖЕННЯ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 про порядок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надання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 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земельних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ділянок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громадянам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для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ведення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особистого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селянського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господарства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 за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рахунок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земель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комунальної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власності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території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Великосеверинівськ</w:t>
      </w:r>
      <w:proofErr w:type="spellEnd"/>
      <w:r w:rsidRPr="00C57FFD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сільської </w:t>
      </w:r>
      <w:proofErr w:type="gramStart"/>
      <w:r w:rsidRPr="00C57FFD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ради</w:t>
      </w:r>
      <w:proofErr w:type="gramEnd"/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Положення про виділення вільних земельних ділянок  для ведення особистого селянського господарства на території </w:t>
      </w:r>
      <w:proofErr w:type="spellStart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</w:t>
      </w:r>
      <w:proofErr w:type="spellEnd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 (далі Положення) розроблено відповідно до Конституції України, Земельного кодексу України, Закону України «Про особисте селянське господарство», Цивільного кодексу України, Законів України «Про місцеве самоврядування в Україні», «Про основи містобудування», «Про регулювання містобудівної діяльності»,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Закону України «Про статус ветерані війни, гарантії їх соціального захисту»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регулює порядок виділення земельних ділянок для ведення особистого селянського господарства на території </w:t>
      </w:r>
      <w:proofErr w:type="spellStart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         Це Положення розроблене і буде використовуватис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я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при умові наявності на </w:t>
      </w:r>
      <w:proofErr w:type="spellStart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територiї</w:t>
      </w:r>
      <w:proofErr w:type="spellEnd"/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вільних земельних ділянок, які згідно генерального плану  можуть бути надані громадянам для ведення особ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истого селянського господарства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    Основною метою запровадження Положення є створення рівноправних та прозорих умов виділення земельних ділянок для   ведення особистого селянського господарства, використання їх за цільовим призначенням, забезпечення доцільного, економічного та ефективного використання і розпорядження землями, задоволення потреб територіальної громади селища та справедливої реалізації прав громадян на отримання земельної ділянки для ведення особистого селянського господарства.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1.Загальні положення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1.1. Отримання земельної ділянки для  ведення особистого селянського господарства мають право усі громадяни України, але переважне право на виділення земельної ділянки для ведення особистого селянського господарства надається, громадянам, які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lastRenderedPageBreak/>
        <w:t xml:space="preserve">постійно проживають та зареєстровані на території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впродовж останніх п’яти років.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1.2. Земельні ділянки для  ведення особистого селянського господарства надаються на території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ради за умови наявності вільних земельних ділянок на територіях визначених для цієї мети генеральним планом у власність  в порядку безоплатної приватизації.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1.3. Надання земельних ділянок для ведення особистого селянського господарства на території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 здійснюється виключно у порядку черговості, враховуючі заяви, які подані до затвердження цього Положення.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1.4. Розміри земельних ділянок, що виділяються громадянам для ведення особистого селянського господарства, встановлюються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сільською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радою у відповідності з генеральним планом, потребами та наявністю вільних земельних ресурсів, але не більше норм, передбачених чинним законодавством.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1.5. Дозвіл на право отримання земельної ділянки для ведення особистого селянського господарства  надається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сесією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радою. </w:t>
      </w:r>
    </w:p>
    <w:p w:rsidR="00D34237" w:rsidRPr="00C57FFD" w:rsidRDefault="00D34237" w:rsidP="00D34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Облік громадян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2.1. Земельні ділянки для ведення особистого селянського господарства надаються громадянам України,  які перебувають на обліку.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2.2. Заяви (додаток №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2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) на виділення земельної ділянки для ведення особистого селянського господарства подаються до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Великосевенинівської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ради, яка приймає і реєструє їх.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До заяви додаються:</w:t>
      </w:r>
    </w:p>
    <w:p w:rsidR="00D34237" w:rsidRPr="00C57FFD" w:rsidRDefault="00D34237" w:rsidP="00D34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копія паспорта заявника;</w:t>
      </w:r>
    </w:p>
    <w:p w:rsidR="00D34237" w:rsidRPr="00C57FFD" w:rsidRDefault="00D34237" w:rsidP="00D34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копія реєстраційного номера облікової картки платника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податків (за наявності);</w:t>
      </w:r>
    </w:p>
    <w:p w:rsidR="00D34237" w:rsidRPr="00C57FFD" w:rsidRDefault="00D34237" w:rsidP="00D34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документи, що посвідчують право громадян бути визнаними такими, що мають переважне право на отримання земельної ділянки (за наявності).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У разі відсутності одного з обов’язкових додатків до заяви,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сільська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рада має право не розглядати дану заяву, а сама заява вважається не поданою.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lastRenderedPageBreak/>
        <w:t xml:space="preserve">2.3. Прийом заяв з доданими документами громадян, які бажають отримати земельну ділянку для   ведення особистого селянського господарства, здійснюється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головним спеціалістом відділу земельних відносин, комунальної власності та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житлово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– комунального господарства </w:t>
      </w:r>
      <w:r w:rsidRPr="00D86AA6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2.4. Реєстрація заяв ведеться шляхом внесення інформації до Книг обліку заяв громадян для виділення земельної ділянки на території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2.5. У паперовому вигляді книга повинна бути прошнурована у спосіб, що унеможливлює роз’єднати без порушення цілісності, пронумерована,  підписана головою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 та скріплена печаткою ради. Після закінчення книги заводиться нова, а нумерація продовжується наступним номером згідно валової нумерації.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2.6. Облік громадян на отримання земельної ділянки здійснюється під громадським контролем.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2.7. На підставі поданих заяв формуються вказані вище книги за відповідним співвідношенням: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– одержання земельних ділянок на загальних підставах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– першочергового одержання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– позачергового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При відсутності черг бажаючих на отримання земельної ділянки, комісії з питань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земельних відносин, будівництва, транспорту, зв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’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язку, екології, благоустрою, комунальної власності,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житлово-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комунального господарства та охорони навколишнього середовища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має право рівномірно розподілити земельні ділянки між чергами, які претендують на земельні ділянки.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2.8. Право на позачергове надання земельної ділянки мають: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ліквідатори, які працювали на Чорнобильській АЕС;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діти-сироти.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Право на першочергове надання земельної ділянки мають: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учасники бойових дій; учасники АТО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,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учасники війни;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інваліди війни та прирівняні до них особи;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сім’ї загиблих військовослужбовців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у зоні АТО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багатодітні сім’ї;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lastRenderedPageBreak/>
        <w:t>– особи, які постраждали внаслідок Чорнобильської катастрофи 1-3 категорій.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В загальний облік громадян для одержання земельних ділянок для ведення особистого селянського господарства включаються: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– громадяни, які згідно законодавства мають право на пільги, але вже мають у власності земельні ділянки отримані будь-яким шляхом, крім безоплатної передачі у власність земельної ділянки;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2.9. Документи, на основі яких громадяни ввійшли в списки для одержання земельних ділянок для ведення особистого селянського господарства повинні поновлюватись громадянином кожні 2 роки з дня включення їх в загально-с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ільський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список. У випадку не поновлення документів у вказаний термін земельна ділянка такому громадянину не виділяється.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У випадку не поновлення вказаних документів протягом 4-х років громадянин виключається зі списку.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2.10. Після внесення інформації до Книги обліку заяв громадян для виділення земельної ділянки на території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 заявнику надається письмове повідомлення про взяття на облік із зазначенням дати та порядкового номера в черзі, та із роз’ясненням вимог пункту 2.9 цього Положення.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2.11. Зняття з черги відбувається після отримання громадянином документа, який би засвідчував його право власності на земельну ділянку. Також зняття з черги відбувається у зв’язку з невиконанням пункту 2.9 цього Положення (автоматично без повідомлення заявника); в разі отримання відповідної заяви про виключення з обліку або в разі наявності документа про смерть заявника.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2.12.  Списки громадян, які перебувають на обліку для отримання земельних ділянок для  ведення особистого селянського господарства мають загальний доступ.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2.13. Контроль за станом обліку здійснюється депутатами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Pr="00C57FFD" w:rsidRDefault="00D34237" w:rsidP="00D3423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Умови щодо надання земельних ділянок для  ведення</w:t>
      </w:r>
    </w:p>
    <w:p w:rsidR="00D34237" w:rsidRDefault="00D34237" w:rsidP="00D34237">
      <w:pPr>
        <w:shd w:val="clear" w:color="auto" w:fill="FFFFFF"/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lastRenderedPageBreak/>
        <w:t>особистого селянського господарства</w:t>
      </w:r>
    </w:p>
    <w:p w:rsidR="00D34237" w:rsidRPr="00C57FFD" w:rsidRDefault="00D34237" w:rsidP="00D34237">
      <w:pPr>
        <w:shd w:val="clear" w:color="auto" w:fill="FFFFFF"/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3.1. Земельні ділянки для ведення особистого селянського господарства надаються  заявникові один раз (згідно з ст. 116 Земельного Кодексу України) з урахуванням даних щодо наявності або відсутності земельної ділянки у власності, отриманої в порядку безоплатної приватизації або отриманої у власність в іншому порядку, шляхом укладання цивільно-правових угод.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3.2. Дозвіл на розробку проекту землеустрою щодо відведення земельної ділянки для   ведення особистого селянського господарства надається рішенням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 терміном на 1,0 рік.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3.3. Громадяни, які не бажають отримати запропоновану земельну ділянку мають право відмовитись від неї шляхом подання відповідної заяви на ім’я с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ільського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голови.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3.4. Земельна ділянка, що передається у власність в порядку безоплатної приватизації для   ведення особистого селянського господарства передається без інженерних комунікацій (водопостачання, водовідведення, електропостачання, газопостачання і т.д.). Підведення інженерних комунікацій здійснюється власником земельної ділянки самостійно за власний рахунок.  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3.5. Приступати до освоєння земельної ділянки, наданої для ведення особистого селянського господарства, громадяни мають право після державної реєстрації прав на неї відповідно до Закону України «</w:t>
      </w:r>
      <w:hyperlink r:id="rId5" w:history="1">
        <w:r w:rsidRPr="00C57FFD">
          <w:rPr>
            <w:rFonts w:ascii="Times New Roman" w:eastAsia="Kozuka Gothic Pro M" w:hAnsi="Times New Roman"/>
            <w:sz w:val="32"/>
            <w:szCs w:val="32"/>
            <w:lang w:val="uk-UA" w:eastAsia="ru-RU"/>
          </w:rPr>
          <w:t>Про державну реєстрацію речових прав на нерухоме майно та їх обтяжень</w:t>
        </w:r>
      </w:hyperlink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»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3.6. В разі не оформлення права на землю и протягом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двох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років з дня прийняття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сільською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радою рішення про виділення земельної ділянки, а також використання земельної ділянки не за цільовим призначенням,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Великосеверинівська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рада має право скасувати рішення про виділення земельної ділянки за рекомендацією комісії з  питань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земельних відносин, будівництва, транспорту, зв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’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язку, екології, благоустрою, комунальної власності,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житлово-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комунального господарства та охорони навколишнього середовища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          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3.7.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       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У разі необґрунтованої відмові від запропонованої земельної ділянки під ведення особистого селянського господарства громадян автоматично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переноситься у кінець черги. До необґрунтованої відмови належить: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     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lastRenderedPageBreak/>
        <w:t>- розташування земельної ділянки,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- площа земельної ділянки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- конфігурація земельної ділянки.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                          </w:t>
      </w:r>
    </w:p>
    <w:p w:rsidR="00D34237" w:rsidRDefault="00D34237" w:rsidP="00D34237">
      <w:pPr>
        <w:shd w:val="clear" w:color="auto" w:fill="FFFFFF"/>
        <w:spacing w:after="15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Pr="00C57FFD" w:rsidRDefault="00D34237" w:rsidP="00D34237">
      <w:pPr>
        <w:shd w:val="clear" w:color="auto" w:fill="FFFFFF"/>
        <w:spacing w:after="15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4.Прикінцеві положення.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4.1.Це Положення набирає чинності з моменту його затвердження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на сесії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4.2. Подані до набрання чинності цим Положенням заяви про виділення земельних ділянок для   ведення особистого селянського господарства підлягають перегляду, впорядкуванню та взяття їх на облік у порядку, встановленому цим Положенням. З цією метою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сільський голова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та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постійна 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комісі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я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з  питань 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земельних відносин, будівництва, транспорту, зв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’</w:t>
      </w: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язку, екології, благоустрою, комунальної власності,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житлово-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комунального господарства та охорони навколишнього середовища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при виконкомі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ради у місячний термін від прийняття цього Положення повідомляє усіх заявників і зобов’язує їх протягом місяця з дня отримання повідомлення поновити заяви та документи відповідно до цього Положення. Взяття на облік громадян, які подали нові заяви здійснюється у порядку, встановленому цим Положенням, за датою реєстрації їх первинних заяв про виділення земельної ділянки (первинні заяви повинні зберігатися у матеріалах облікової справи заявника).</w:t>
      </w: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4.3. Зміни та доповнення до цього Положення вносяться рішенням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сільської ради</w:t>
      </w: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.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 w:rsidRPr="00C57FFD">
        <w:rPr>
          <w:rFonts w:ascii="Times New Roman" w:eastAsia="Kozuka Gothic Pro M" w:hAnsi="Times New Roman"/>
          <w:sz w:val="32"/>
          <w:szCs w:val="32"/>
          <w:lang w:val="uk-UA" w:eastAsia="ru-RU"/>
        </w:rPr>
        <w:t> </w:t>
      </w: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D34237" w:rsidRPr="00C57FFD" w:rsidRDefault="00D34237" w:rsidP="00D34237">
      <w:pPr>
        <w:shd w:val="clear" w:color="auto" w:fill="FFFFFF"/>
        <w:spacing w:after="150" w:line="240" w:lineRule="auto"/>
        <w:jc w:val="both"/>
        <w:rPr>
          <w:rFonts w:ascii="Times New Roman" w:eastAsia="Kozuka Gothic Pro M" w:hAnsi="Times New Roman"/>
          <w:sz w:val="32"/>
          <w:szCs w:val="32"/>
          <w:lang w:val="uk-UA" w:eastAsia="ru-RU"/>
        </w:rPr>
      </w:pPr>
    </w:p>
    <w:p w:rsidR="00980923" w:rsidRDefault="00980923" w:rsidP="0098092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80923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945"/>
    <w:multiLevelType w:val="multilevel"/>
    <w:tmpl w:val="9232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A1C"/>
    <w:multiLevelType w:val="multilevel"/>
    <w:tmpl w:val="758AC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24664"/>
    <w:multiLevelType w:val="multilevel"/>
    <w:tmpl w:val="49A0C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B5376"/>
    <w:multiLevelType w:val="hybridMultilevel"/>
    <w:tmpl w:val="D7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0923"/>
    <w:rsid w:val="00180B24"/>
    <w:rsid w:val="00310D99"/>
    <w:rsid w:val="003C506E"/>
    <w:rsid w:val="00405AA1"/>
    <w:rsid w:val="005D2981"/>
    <w:rsid w:val="005F40FA"/>
    <w:rsid w:val="00733EF6"/>
    <w:rsid w:val="007A56DC"/>
    <w:rsid w:val="007C6106"/>
    <w:rsid w:val="00980923"/>
    <w:rsid w:val="00D34237"/>
    <w:rsid w:val="00DC600E"/>
    <w:rsid w:val="00E14441"/>
    <w:rsid w:val="00E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3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customStyle="1" w:styleId="11">
    <w:name w:val="Сетка таблицы1"/>
    <w:basedOn w:val="a1"/>
    <w:uiPriority w:val="59"/>
    <w:rsid w:val="00980923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95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9354</Characters>
  <Application>Microsoft Office Word</Application>
  <DocSecurity>0</DocSecurity>
  <Lines>77</Lines>
  <Paragraphs>21</Paragraphs>
  <ScaleCrop>false</ScaleCrop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2018-06-06T09:34:00Z</dcterms:created>
  <dcterms:modified xsi:type="dcterms:W3CDTF">2018-06-06T11:44:00Z</dcterms:modified>
</cp:coreProperties>
</file>