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82" w:rsidRPr="001A6466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177782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 xml:space="preserve">до рішення № </w:t>
      </w:r>
      <w:r>
        <w:rPr>
          <w:rFonts w:ascii="Times New Roman" w:hAnsi="Times New Roman"/>
          <w:sz w:val="28"/>
          <w:szCs w:val="28"/>
          <w:lang w:val="uk-UA"/>
        </w:rPr>
        <w:t>909</w:t>
      </w:r>
    </w:p>
    <w:p w:rsidR="00177782" w:rsidRPr="001A6466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13 червня 2019 </w:t>
      </w:r>
      <w:r w:rsidRPr="001A6466">
        <w:rPr>
          <w:rFonts w:ascii="Times New Roman" w:hAnsi="Times New Roman"/>
          <w:sz w:val="28"/>
          <w:szCs w:val="28"/>
          <w:lang w:val="uk-UA"/>
        </w:rPr>
        <w:t>року</w:t>
      </w:r>
    </w:p>
    <w:p w:rsidR="00177782" w:rsidRPr="001A6466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</w:p>
    <w:p w:rsidR="00177782" w:rsidRPr="001A6466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82" w:rsidRPr="001A6466" w:rsidRDefault="00177782" w:rsidP="00177782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782" w:rsidRDefault="00177782" w:rsidP="001777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продажу права власності на земельну ділянку,</w:t>
      </w:r>
    </w:p>
    <w:p w:rsidR="00177782" w:rsidRPr="004808E3" w:rsidRDefault="00177782" w:rsidP="0017778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розташована у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177782" w:rsidRPr="00293499" w:rsidRDefault="00177782" w:rsidP="0017778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1.Місцезнажодження земельної ділянки: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Кропивницький район, Кіровоградська область.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 Площа 3,0000 га.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 Кадастровий номер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3522581200:57:000:1059.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4. Напрямок використання – для розміщення підприємства по продажу та обслуговуванню сільськогосподарської техніки.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5. Обов</w:t>
      </w:r>
      <w:r w:rsidRPr="00480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язкові умови використання земельної ділянки: дотримання вимог та обмежень,  зазначених у висновках погоджувальних організацій, які мають бути враховані при використанні території;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Дотримання ст. 20,39,103,134-139 Земельного Кодексу України, закону України «Про регулювання містобудівної діяльності», ДБН-360-90**;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необхідності зняття ґрунтового покриву із земельної ділянки дотримуватися вимог ст. 168 Земельного кодексу України.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 Умови відведення: продаж права власності – 3,0000 га.</w:t>
      </w:r>
    </w:p>
    <w:p w:rsidR="00177782" w:rsidRDefault="00177782" w:rsidP="00177782">
      <w:pPr>
        <w:pStyle w:val="a3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7.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кспертн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грошов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оцінк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земельної ділянки кадастровий номер 3522581200:57:000:1059 на підставі висновку несільськогосподарського призначення ком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нальної власності Великосеверинівської сільської ради площею 30 000 </w:t>
      </w:r>
      <w:proofErr w:type="spellStart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F5506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., для будівництва та обслуговування будівель торгівлі, за адресою Кіровоградська область Кропивницький (Кіровоградський) район, кадастровий номер 3522581200:57:000:1059 в розмірі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</w:t>
      </w:r>
    </w:p>
    <w:p w:rsidR="00177782" w:rsidRPr="00A807A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8.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Стартову ціну продажу права оренди на земельну ділянку 6 744 300,00 гривень (шість мільйонів сімсот сорок чотири тисячі триста гривень 00 копійок), що у розрахунку на один квадратний метр земельної ділянки становить 224,81 грн. (двісті двадцять чотири гривні гривня 81 коп.).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9. 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Гарантійний внесок становить 5 (п’ять) % від стартової ціни продажу лота, а саме 337 215, 00 грн.  (триста тридцять сім тисяч двісті п’ятнадцять гривень 00 коп.)</w:t>
      </w:r>
    </w:p>
    <w:p w:rsidR="00177782" w:rsidRPr="00A807A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10. </w:t>
      </w:r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Крок земельних торгів у формі аукціону з продажу права власності на земельну ділянку становить 5 (п’ять)  % від стартової ціни лота, а саме 337 215, 0</w:t>
      </w:r>
      <w:bookmarkStart w:id="0" w:name="_GoBack"/>
      <w:bookmarkEnd w:id="0"/>
      <w:r w:rsidRPr="00A807A2">
        <w:rPr>
          <w:rFonts w:ascii="Times New Roman" w:eastAsia="Times New Roman" w:hAnsi="Times New Roman"/>
          <w:bCs/>
          <w:sz w:val="28"/>
          <w:szCs w:val="28"/>
          <w:lang w:eastAsia="ru-RU"/>
        </w:rPr>
        <w:t>0 грн.  (триста тридцять сім тисяч двісті п’ятнадцять гривень 00 коп.).</w:t>
      </w:r>
    </w:p>
    <w:p w:rsidR="00177782" w:rsidRDefault="00177782" w:rsidP="0017778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11. Використовувати земельну ділянку після укладання договору купівлі – продажу права власності на земельну ділянку та його державної реєстрації.».</w:t>
      </w:r>
    </w:p>
    <w:p w:rsidR="00177782" w:rsidRDefault="00177782" w:rsidP="00177782">
      <w:pPr>
        <w:shd w:val="clear" w:color="auto" w:fill="FFFFFF"/>
        <w:autoSpaceDE w:val="0"/>
        <w:spacing w:before="220" w:after="240"/>
        <w:ind w:firstLine="567"/>
        <w:jc w:val="both"/>
      </w:pP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Сільський голова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Pr="00700C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ЛЕВЧЕНКО</w:t>
      </w:r>
    </w:p>
    <w:sectPr w:rsidR="00177782" w:rsidSect="00177782">
      <w:pgSz w:w="11906" w:h="16838"/>
      <w:pgMar w:top="28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782"/>
    <w:rsid w:val="0017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78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a4">
    <w:name w:val="List Paragraph"/>
    <w:basedOn w:val="a"/>
    <w:uiPriority w:val="34"/>
    <w:qFormat/>
    <w:rsid w:val="00177782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2019-07-31T12:46:00Z</dcterms:created>
  <dcterms:modified xsi:type="dcterms:W3CDTF">2019-07-31T12:47:00Z</dcterms:modified>
</cp:coreProperties>
</file>