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204" w:rsidRPr="00873204" w:rsidRDefault="00873204" w:rsidP="00873204">
      <w:pPr>
        <w:ind w:left="6237"/>
        <w:jc w:val="both"/>
        <w:rPr>
          <w:lang w:val="uk-UA"/>
        </w:rPr>
      </w:pPr>
      <w:r w:rsidRPr="00873204">
        <w:rPr>
          <w:lang w:val="uk-UA"/>
        </w:rPr>
        <w:tab/>
      </w:r>
      <w:r w:rsidRPr="00873204">
        <w:rPr>
          <w:lang w:val="uk-UA"/>
        </w:rPr>
        <w:tab/>
      </w:r>
      <w:proofErr w:type="spellStart"/>
      <w:r w:rsidRPr="00873204">
        <w:rPr>
          <w:lang w:val="uk-UA"/>
        </w:rPr>
        <w:t>Додаток</w:t>
      </w:r>
      <w:proofErr w:type="spellEnd"/>
      <w:r w:rsidRPr="00873204">
        <w:rPr>
          <w:lang w:val="uk-UA"/>
        </w:rPr>
        <w:t xml:space="preserve"> </w:t>
      </w:r>
    </w:p>
    <w:p w:rsidR="00873204" w:rsidRPr="00873204" w:rsidRDefault="00873204" w:rsidP="00873204">
      <w:pPr>
        <w:ind w:left="6237"/>
        <w:jc w:val="both"/>
        <w:rPr>
          <w:lang w:val="uk-UA"/>
        </w:rPr>
      </w:pPr>
      <w:r w:rsidRPr="00873204">
        <w:rPr>
          <w:lang w:val="uk-UA"/>
        </w:rPr>
        <w:tab/>
      </w:r>
      <w:r w:rsidRPr="00873204">
        <w:rPr>
          <w:lang w:val="uk-UA"/>
        </w:rPr>
        <w:tab/>
        <w:t xml:space="preserve">до рішення сесії </w:t>
      </w:r>
      <w:r w:rsidRPr="00873204">
        <w:rPr>
          <w:lang w:val="uk-UA"/>
        </w:rPr>
        <w:tab/>
      </w:r>
      <w:r w:rsidRPr="00873204">
        <w:rPr>
          <w:lang w:val="uk-UA"/>
        </w:rPr>
        <w:tab/>
      </w:r>
      <w:r w:rsidRPr="00873204">
        <w:rPr>
          <w:lang w:val="uk-UA"/>
        </w:rPr>
        <w:tab/>
        <w:t xml:space="preserve">Великосеверинівської </w:t>
      </w:r>
      <w:r w:rsidRPr="00873204">
        <w:rPr>
          <w:lang w:val="uk-UA"/>
        </w:rPr>
        <w:tab/>
      </w:r>
      <w:r w:rsidRPr="00873204">
        <w:rPr>
          <w:lang w:val="uk-UA"/>
        </w:rPr>
        <w:tab/>
        <w:t xml:space="preserve">сільської ради </w:t>
      </w:r>
    </w:p>
    <w:p w:rsidR="00873204" w:rsidRPr="00873204" w:rsidRDefault="00873204" w:rsidP="00873204">
      <w:pPr>
        <w:ind w:left="6237"/>
        <w:jc w:val="both"/>
        <w:rPr>
          <w:b/>
          <w:lang w:val="uk-UA"/>
        </w:rPr>
      </w:pPr>
      <w:r w:rsidRPr="00873204">
        <w:rPr>
          <w:lang w:val="uk-UA"/>
        </w:rPr>
        <w:tab/>
      </w:r>
      <w:r w:rsidRPr="00873204">
        <w:rPr>
          <w:lang w:val="uk-UA"/>
        </w:rPr>
        <w:tab/>
        <w:t>«09» грудня 2019 №1140</w:t>
      </w:r>
    </w:p>
    <w:p w:rsidR="00873204" w:rsidRPr="00873204" w:rsidRDefault="00873204" w:rsidP="00873204">
      <w:pPr>
        <w:jc w:val="center"/>
        <w:rPr>
          <w:b/>
          <w:sz w:val="28"/>
          <w:szCs w:val="28"/>
          <w:lang w:val="uk-UA" w:eastAsia="uk-UA"/>
        </w:rPr>
      </w:pPr>
    </w:p>
    <w:p w:rsidR="00873204" w:rsidRPr="00873204" w:rsidRDefault="00873204" w:rsidP="00873204">
      <w:pPr>
        <w:jc w:val="center"/>
        <w:rPr>
          <w:b/>
          <w:sz w:val="28"/>
          <w:szCs w:val="28"/>
          <w:lang w:val="uk-UA" w:eastAsia="uk-UA"/>
        </w:rPr>
      </w:pPr>
    </w:p>
    <w:p w:rsidR="00873204" w:rsidRPr="00873204" w:rsidRDefault="00873204" w:rsidP="00873204">
      <w:pPr>
        <w:jc w:val="center"/>
        <w:rPr>
          <w:b/>
          <w:sz w:val="28"/>
          <w:szCs w:val="28"/>
          <w:lang w:val="uk-UA" w:eastAsia="uk-UA"/>
        </w:rPr>
      </w:pPr>
      <w:r w:rsidRPr="00873204">
        <w:rPr>
          <w:b/>
          <w:sz w:val="28"/>
          <w:szCs w:val="28"/>
          <w:lang w:val="uk-UA" w:eastAsia="uk-UA"/>
        </w:rPr>
        <w:t xml:space="preserve">ПЛАН ЗАХОДІВ </w:t>
      </w:r>
    </w:p>
    <w:p w:rsidR="00873204" w:rsidRPr="00873204" w:rsidRDefault="00873204" w:rsidP="00873204">
      <w:pPr>
        <w:jc w:val="center"/>
        <w:rPr>
          <w:b/>
          <w:lang w:val="uk-UA" w:eastAsia="uk-UA"/>
        </w:rPr>
      </w:pPr>
      <w:r w:rsidRPr="00873204">
        <w:rPr>
          <w:b/>
          <w:lang w:val="uk-UA" w:eastAsia="uk-UA"/>
        </w:rPr>
        <w:t>на 2020 рік щодо наповнення місцевого бюджету, економного і раціонального використання бюджетних коштів у процесі виконання місцевого бюджету</w:t>
      </w:r>
    </w:p>
    <w:p w:rsidR="00873204" w:rsidRPr="00873204" w:rsidRDefault="00873204" w:rsidP="00873204">
      <w:pPr>
        <w:jc w:val="center"/>
        <w:rPr>
          <w:b/>
          <w:sz w:val="16"/>
          <w:szCs w:val="16"/>
          <w:lang w:val="uk-UA" w:eastAsia="uk-UA"/>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5040"/>
        <w:gridCol w:w="1260"/>
        <w:gridCol w:w="3600"/>
      </w:tblGrid>
      <w:tr w:rsidR="00873204" w:rsidRPr="00873204" w:rsidTr="00A71E3A">
        <w:tc>
          <w:tcPr>
            <w:tcW w:w="360" w:type="dxa"/>
          </w:tcPr>
          <w:p w:rsidR="00873204" w:rsidRPr="00873204" w:rsidRDefault="00873204" w:rsidP="00A71E3A">
            <w:pPr>
              <w:ind w:left="-108" w:right="-108"/>
              <w:jc w:val="center"/>
              <w:rPr>
                <w:b/>
                <w:lang w:val="uk-UA" w:eastAsia="uk-UA"/>
              </w:rPr>
            </w:pPr>
            <w:r w:rsidRPr="00873204">
              <w:rPr>
                <w:b/>
                <w:sz w:val="22"/>
                <w:szCs w:val="22"/>
                <w:lang w:val="uk-UA" w:eastAsia="uk-UA"/>
              </w:rPr>
              <w:t>№ з/п</w:t>
            </w:r>
          </w:p>
        </w:tc>
        <w:tc>
          <w:tcPr>
            <w:tcW w:w="5040" w:type="dxa"/>
          </w:tcPr>
          <w:p w:rsidR="00873204" w:rsidRPr="00873204" w:rsidRDefault="00873204" w:rsidP="00A71E3A">
            <w:pPr>
              <w:jc w:val="center"/>
              <w:rPr>
                <w:b/>
                <w:lang w:val="uk-UA" w:eastAsia="uk-UA"/>
              </w:rPr>
            </w:pPr>
            <w:r w:rsidRPr="00873204">
              <w:rPr>
                <w:b/>
                <w:sz w:val="22"/>
                <w:szCs w:val="22"/>
                <w:lang w:val="uk-UA" w:eastAsia="uk-UA"/>
              </w:rPr>
              <w:t xml:space="preserve">Заходи </w:t>
            </w:r>
          </w:p>
        </w:tc>
        <w:tc>
          <w:tcPr>
            <w:tcW w:w="1260" w:type="dxa"/>
          </w:tcPr>
          <w:p w:rsidR="00873204" w:rsidRPr="00873204" w:rsidRDefault="00873204" w:rsidP="00A71E3A">
            <w:pPr>
              <w:ind w:left="-108" w:right="-63"/>
              <w:jc w:val="center"/>
              <w:rPr>
                <w:b/>
                <w:lang w:val="uk-UA" w:eastAsia="uk-UA"/>
              </w:rPr>
            </w:pPr>
            <w:r w:rsidRPr="00873204">
              <w:rPr>
                <w:b/>
                <w:sz w:val="22"/>
                <w:szCs w:val="22"/>
                <w:lang w:val="uk-UA" w:eastAsia="uk-UA"/>
              </w:rPr>
              <w:t>Термін виконання</w:t>
            </w:r>
          </w:p>
        </w:tc>
        <w:tc>
          <w:tcPr>
            <w:tcW w:w="3600" w:type="dxa"/>
          </w:tcPr>
          <w:p w:rsidR="00873204" w:rsidRPr="00873204" w:rsidRDefault="00873204" w:rsidP="00A71E3A">
            <w:pPr>
              <w:jc w:val="center"/>
              <w:rPr>
                <w:b/>
                <w:lang w:val="uk-UA" w:eastAsia="uk-UA"/>
              </w:rPr>
            </w:pPr>
            <w:r w:rsidRPr="00873204">
              <w:rPr>
                <w:b/>
                <w:sz w:val="22"/>
                <w:szCs w:val="22"/>
                <w:lang w:val="uk-UA" w:eastAsia="uk-UA"/>
              </w:rPr>
              <w:t>Відповідальні за виконання</w:t>
            </w:r>
          </w:p>
        </w:tc>
      </w:tr>
      <w:tr w:rsidR="00873204" w:rsidRPr="00873204" w:rsidTr="00A71E3A">
        <w:tc>
          <w:tcPr>
            <w:tcW w:w="360" w:type="dxa"/>
          </w:tcPr>
          <w:p w:rsidR="00873204" w:rsidRPr="00873204" w:rsidRDefault="00873204" w:rsidP="00A71E3A">
            <w:pPr>
              <w:ind w:left="-108" w:right="-108"/>
              <w:jc w:val="center"/>
              <w:rPr>
                <w:sz w:val="18"/>
                <w:szCs w:val="18"/>
                <w:lang w:val="uk-UA" w:eastAsia="uk-UA"/>
              </w:rPr>
            </w:pPr>
            <w:r w:rsidRPr="00873204">
              <w:rPr>
                <w:sz w:val="18"/>
                <w:szCs w:val="18"/>
                <w:lang w:val="uk-UA" w:eastAsia="uk-UA"/>
              </w:rPr>
              <w:t>1</w:t>
            </w:r>
          </w:p>
        </w:tc>
        <w:tc>
          <w:tcPr>
            <w:tcW w:w="5040" w:type="dxa"/>
          </w:tcPr>
          <w:p w:rsidR="00873204" w:rsidRPr="00873204" w:rsidRDefault="00873204" w:rsidP="00A71E3A">
            <w:pPr>
              <w:jc w:val="center"/>
              <w:rPr>
                <w:sz w:val="18"/>
                <w:szCs w:val="18"/>
                <w:lang w:val="uk-UA" w:eastAsia="uk-UA"/>
              </w:rPr>
            </w:pPr>
            <w:r w:rsidRPr="00873204">
              <w:rPr>
                <w:sz w:val="18"/>
                <w:szCs w:val="18"/>
                <w:lang w:val="uk-UA" w:eastAsia="uk-UA"/>
              </w:rPr>
              <w:t>2</w:t>
            </w:r>
          </w:p>
        </w:tc>
        <w:tc>
          <w:tcPr>
            <w:tcW w:w="1260" w:type="dxa"/>
          </w:tcPr>
          <w:p w:rsidR="00873204" w:rsidRPr="00873204" w:rsidRDefault="00873204" w:rsidP="00A71E3A">
            <w:pPr>
              <w:jc w:val="center"/>
              <w:rPr>
                <w:sz w:val="18"/>
                <w:szCs w:val="18"/>
                <w:lang w:val="uk-UA" w:eastAsia="uk-UA"/>
              </w:rPr>
            </w:pPr>
            <w:r w:rsidRPr="00873204">
              <w:rPr>
                <w:sz w:val="18"/>
                <w:szCs w:val="18"/>
                <w:lang w:val="uk-UA" w:eastAsia="uk-UA"/>
              </w:rPr>
              <w:t>3</w:t>
            </w:r>
          </w:p>
        </w:tc>
        <w:tc>
          <w:tcPr>
            <w:tcW w:w="3600" w:type="dxa"/>
          </w:tcPr>
          <w:p w:rsidR="00873204" w:rsidRPr="00873204" w:rsidRDefault="00873204" w:rsidP="00A71E3A">
            <w:pPr>
              <w:jc w:val="center"/>
              <w:rPr>
                <w:sz w:val="18"/>
                <w:szCs w:val="18"/>
                <w:lang w:val="uk-UA" w:eastAsia="uk-UA"/>
              </w:rPr>
            </w:pPr>
            <w:r w:rsidRPr="00873204">
              <w:rPr>
                <w:sz w:val="18"/>
                <w:szCs w:val="18"/>
                <w:lang w:val="uk-UA" w:eastAsia="uk-UA"/>
              </w:rPr>
              <w:t>4</w:t>
            </w:r>
          </w:p>
        </w:tc>
      </w:tr>
      <w:tr w:rsidR="00873204" w:rsidRPr="00873204" w:rsidTr="00A71E3A">
        <w:tc>
          <w:tcPr>
            <w:tcW w:w="360" w:type="dxa"/>
          </w:tcPr>
          <w:p w:rsidR="00873204" w:rsidRPr="00873204" w:rsidRDefault="00873204" w:rsidP="00A71E3A">
            <w:pPr>
              <w:ind w:left="-108" w:right="-108"/>
              <w:jc w:val="center"/>
              <w:rPr>
                <w:lang w:val="uk-UA" w:eastAsia="uk-UA"/>
              </w:rPr>
            </w:pPr>
            <w:r w:rsidRPr="00873204">
              <w:rPr>
                <w:lang w:val="uk-UA" w:eastAsia="uk-UA"/>
              </w:rPr>
              <w:t>1.</w:t>
            </w:r>
          </w:p>
        </w:tc>
        <w:tc>
          <w:tcPr>
            <w:tcW w:w="5040" w:type="dxa"/>
          </w:tcPr>
          <w:p w:rsidR="00873204" w:rsidRPr="00873204" w:rsidRDefault="00873204" w:rsidP="00A71E3A">
            <w:pPr>
              <w:jc w:val="both"/>
              <w:rPr>
                <w:lang w:val="uk-UA" w:eastAsia="uk-UA"/>
              </w:rPr>
            </w:pPr>
            <w:r w:rsidRPr="00873204">
              <w:rPr>
                <w:lang w:val="uk-UA" w:eastAsia="uk-UA"/>
              </w:rPr>
              <w:t>Забезпечити виконання показників доходної частини місцевого бюджету на 2020 рік, затвердженого радою, а також виявляти та використовувати всі наявні резерви надходжень</w:t>
            </w:r>
          </w:p>
        </w:tc>
        <w:tc>
          <w:tcPr>
            <w:tcW w:w="1260" w:type="dxa"/>
          </w:tcPr>
          <w:p w:rsidR="00873204" w:rsidRPr="00873204" w:rsidRDefault="00873204" w:rsidP="00A71E3A">
            <w:pPr>
              <w:ind w:left="-108" w:right="-108"/>
              <w:jc w:val="both"/>
              <w:rPr>
                <w:lang w:val="uk-UA" w:eastAsia="uk-UA"/>
              </w:rPr>
            </w:pPr>
            <w:r w:rsidRPr="00873204">
              <w:rPr>
                <w:lang w:val="uk-UA" w:eastAsia="uk-UA"/>
              </w:rPr>
              <w:t>Протягом року</w:t>
            </w:r>
          </w:p>
        </w:tc>
        <w:tc>
          <w:tcPr>
            <w:tcW w:w="3600" w:type="dxa"/>
          </w:tcPr>
          <w:p w:rsidR="00873204" w:rsidRPr="00873204" w:rsidRDefault="00873204" w:rsidP="00A71E3A">
            <w:pPr>
              <w:rPr>
                <w:lang w:val="uk-UA" w:eastAsia="uk-UA"/>
              </w:rPr>
            </w:pPr>
            <w:r w:rsidRPr="00873204">
              <w:rPr>
                <w:bCs/>
                <w:lang w:val="uk-UA" w:eastAsia="uk-UA"/>
              </w:rPr>
              <w:t>Постійна комісія з питань планування, фінансів, бюджету, соціально-економічного розвитку та інвестицій</w:t>
            </w:r>
          </w:p>
        </w:tc>
      </w:tr>
      <w:tr w:rsidR="00873204" w:rsidRPr="00873204" w:rsidTr="00A71E3A">
        <w:tc>
          <w:tcPr>
            <w:tcW w:w="360" w:type="dxa"/>
          </w:tcPr>
          <w:p w:rsidR="00873204" w:rsidRPr="00873204" w:rsidRDefault="00873204" w:rsidP="00A71E3A">
            <w:pPr>
              <w:ind w:left="-108" w:right="-108"/>
              <w:jc w:val="center"/>
              <w:rPr>
                <w:lang w:val="uk-UA" w:eastAsia="uk-UA"/>
              </w:rPr>
            </w:pPr>
            <w:r w:rsidRPr="00873204">
              <w:rPr>
                <w:lang w:val="uk-UA" w:eastAsia="uk-UA"/>
              </w:rPr>
              <w:t>2.</w:t>
            </w:r>
          </w:p>
        </w:tc>
        <w:tc>
          <w:tcPr>
            <w:tcW w:w="5040" w:type="dxa"/>
          </w:tcPr>
          <w:p w:rsidR="00873204" w:rsidRPr="00873204" w:rsidRDefault="00873204" w:rsidP="00A71E3A">
            <w:pPr>
              <w:jc w:val="both"/>
              <w:rPr>
                <w:lang w:val="uk-UA" w:eastAsia="uk-UA"/>
              </w:rPr>
            </w:pPr>
            <w:r w:rsidRPr="00873204">
              <w:rPr>
                <w:lang w:val="uk-UA" w:eastAsia="uk-UA"/>
              </w:rPr>
              <w:t>Проводити моніторинг надходжень податків і зборів у розрізі місцевого бюджету та видів платежів, аналізувати випадки зниження надходжень у порівнянні з відповідним періодом минулого року та надавати пропозиції щодо виправлення ситуації</w:t>
            </w:r>
          </w:p>
        </w:tc>
        <w:tc>
          <w:tcPr>
            <w:tcW w:w="1260" w:type="dxa"/>
          </w:tcPr>
          <w:p w:rsidR="00873204" w:rsidRPr="00873204" w:rsidRDefault="00873204" w:rsidP="00A71E3A">
            <w:pPr>
              <w:ind w:left="-108" w:right="-108"/>
              <w:jc w:val="both"/>
              <w:rPr>
                <w:lang w:val="uk-UA" w:eastAsia="uk-UA"/>
              </w:rPr>
            </w:pPr>
            <w:r w:rsidRPr="00873204">
              <w:rPr>
                <w:lang w:val="uk-UA" w:eastAsia="uk-UA"/>
              </w:rPr>
              <w:t>Протягом року</w:t>
            </w:r>
          </w:p>
        </w:tc>
        <w:tc>
          <w:tcPr>
            <w:tcW w:w="3600" w:type="dxa"/>
          </w:tcPr>
          <w:p w:rsidR="00873204" w:rsidRPr="00873204" w:rsidRDefault="00873204" w:rsidP="00A71E3A">
            <w:pPr>
              <w:jc w:val="both"/>
              <w:rPr>
                <w:lang w:val="uk-UA" w:eastAsia="uk-UA"/>
              </w:rPr>
            </w:pPr>
            <w:r w:rsidRPr="00873204">
              <w:rPr>
                <w:lang w:val="uk-UA" w:eastAsia="uk-UA"/>
              </w:rPr>
              <w:t>Фінансово-економічний відділ</w:t>
            </w:r>
          </w:p>
        </w:tc>
      </w:tr>
      <w:tr w:rsidR="00873204" w:rsidRPr="00873204" w:rsidTr="00A71E3A">
        <w:tc>
          <w:tcPr>
            <w:tcW w:w="360" w:type="dxa"/>
          </w:tcPr>
          <w:p w:rsidR="00873204" w:rsidRPr="00873204" w:rsidRDefault="00873204" w:rsidP="00A71E3A">
            <w:pPr>
              <w:ind w:left="-108" w:right="-108"/>
              <w:jc w:val="center"/>
              <w:rPr>
                <w:lang w:val="uk-UA" w:eastAsia="uk-UA"/>
              </w:rPr>
            </w:pPr>
            <w:r w:rsidRPr="00873204">
              <w:rPr>
                <w:lang w:val="uk-UA" w:eastAsia="uk-UA"/>
              </w:rPr>
              <w:t>3.</w:t>
            </w:r>
          </w:p>
        </w:tc>
        <w:tc>
          <w:tcPr>
            <w:tcW w:w="5040" w:type="dxa"/>
          </w:tcPr>
          <w:p w:rsidR="00873204" w:rsidRPr="00873204" w:rsidRDefault="00873204" w:rsidP="00A71E3A">
            <w:pPr>
              <w:jc w:val="both"/>
              <w:rPr>
                <w:lang w:val="uk-UA" w:eastAsia="uk-UA"/>
              </w:rPr>
            </w:pPr>
            <w:r w:rsidRPr="00873204">
              <w:rPr>
                <w:lang w:val="uk-UA" w:eastAsia="uk-UA"/>
              </w:rPr>
              <w:t>Надання інформації щодо податкового боргу на підставі даних інформаційної системи органів ДПС</w:t>
            </w:r>
          </w:p>
        </w:tc>
        <w:tc>
          <w:tcPr>
            <w:tcW w:w="1260" w:type="dxa"/>
          </w:tcPr>
          <w:p w:rsidR="00873204" w:rsidRPr="00873204" w:rsidRDefault="00873204" w:rsidP="00A71E3A">
            <w:pPr>
              <w:ind w:left="-108" w:right="-108"/>
              <w:jc w:val="both"/>
              <w:rPr>
                <w:lang w:val="uk-UA" w:eastAsia="uk-UA"/>
              </w:rPr>
            </w:pPr>
            <w:r w:rsidRPr="00873204">
              <w:rPr>
                <w:lang w:val="uk-UA" w:eastAsia="uk-UA"/>
              </w:rPr>
              <w:t>Щомісячно</w:t>
            </w:r>
          </w:p>
        </w:tc>
        <w:tc>
          <w:tcPr>
            <w:tcW w:w="3600" w:type="dxa"/>
          </w:tcPr>
          <w:p w:rsidR="00873204" w:rsidRPr="00873204" w:rsidRDefault="00873204" w:rsidP="00A71E3A">
            <w:pPr>
              <w:rPr>
                <w:bCs/>
                <w:lang w:val="uk-UA" w:eastAsia="uk-UA"/>
              </w:rPr>
            </w:pPr>
            <w:proofErr w:type="spellStart"/>
            <w:r w:rsidRPr="00873204">
              <w:rPr>
                <w:bCs/>
                <w:lang w:val="uk-UA" w:eastAsia="uk-UA"/>
              </w:rPr>
              <w:t>Кропивницьке</w:t>
            </w:r>
            <w:proofErr w:type="spellEnd"/>
            <w:r w:rsidRPr="00873204">
              <w:rPr>
                <w:bCs/>
                <w:lang w:val="uk-UA" w:eastAsia="uk-UA"/>
              </w:rPr>
              <w:t xml:space="preserve"> управління державної податкової служби</w:t>
            </w:r>
          </w:p>
        </w:tc>
      </w:tr>
      <w:tr w:rsidR="00873204" w:rsidRPr="00873204" w:rsidTr="00A71E3A">
        <w:tc>
          <w:tcPr>
            <w:tcW w:w="360" w:type="dxa"/>
          </w:tcPr>
          <w:p w:rsidR="00873204" w:rsidRPr="00873204" w:rsidRDefault="00873204" w:rsidP="00A71E3A">
            <w:pPr>
              <w:ind w:left="-108" w:right="-108"/>
              <w:jc w:val="center"/>
              <w:rPr>
                <w:lang w:val="uk-UA" w:eastAsia="uk-UA"/>
              </w:rPr>
            </w:pPr>
            <w:r w:rsidRPr="00873204">
              <w:rPr>
                <w:lang w:val="uk-UA" w:eastAsia="uk-UA"/>
              </w:rPr>
              <w:t>3.</w:t>
            </w:r>
          </w:p>
        </w:tc>
        <w:tc>
          <w:tcPr>
            <w:tcW w:w="5040" w:type="dxa"/>
          </w:tcPr>
          <w:p w:rsidR="00873204" w:rsidRPr="00873204" w:rsidRDefault="00873204" w:rsidP="00A71E3A">
            <w:pPr>
              <w:jc w:val="both"/>
              <w:rPr>
                <w:lang w:val="uk-UA" w:eastAsia="uk-UA"/>
              </w:rPr>
            </w:pPr>
            <w:r w:rsidRPr="00873204">
              <w:rPr>
                <w:lang w:val="uk-UA" w:eastAsia="uk-UA"/>
              </w:rPr>
              <w:t>Організувати проведення масово-роз`яснювальної роботи серед платників з питань соціальної значимості добровільної і своєчасної сплати податків до місцевого бюджету, змін до податкового законодавства стосовно зменшення навантаження на фонд заробітної плати та можливості підвищення розміру заробітної плати</w:t>
            </w:r>
          </w:p>
        </w:tc>
        <w:tc>
          <w:tcPr>
            <w:tcW w:w="1260" w:type="dxa"/>
          </w:tcPr>
          <w:p w:rsidR="00873204" w:rsidRPr="00873204" w:rsidRDefault="00873204" w:rsidP="00A71E3A">
            <w:pPr>
              <w:ind w:left="-108" w:right="-108"/>
              <w:jc w:val="both"/>
              <w:rPr>
                <w:lang w:val="uk-UA" w:eastAsia="uk-UA"/>
              </w:rPr>
            </w:pPr>
            <w:r w:rsidRPr="00873204">
              <w:rPr>
                <w:lang w:val="uk-UA" w:eastAsia="uk-UA"/>
              </w:rPr>
              <w:t>Протягом року</w:t>
            </w:r>
          </w:p>
        </w:tc>
        <w:tc>
          <w:tcPr>
            <w:tcW w:w="3600" w:type="dxa"/>
          </w:tcPr>
          <w:p w:rsidR="00873204" w:rsidRPr="00873204" w:rsidRDefault="00873204" w:rsidP="00A71E3A">
            <w:pPr>
              <w:jc w:val="both"/>
              <w:rPr>
                <w:lang w:val="uk-UA" w:eastAsia="uk-UA"/>
              </w:rPr>
            </w:pPr>
            <w:r w:rsidRPr="00873204">
              <w:rPr>
                <w:bCs/>
                <w:lang w:val="uk-UA" w:eastAsia="uk-UA"/>
              </w:rPr>
              <w:t>Постійна комісія з питань планування, фінансів, бюджету, соціально-економічного розвитку та інвестицій</w:t>
            </w:r>
          </w:p>
        </w:tc>
      </w:tr>
      <w:tr w:rsidR="00873204" w:rsidRPr="00873204" w:rsidTr="00A71E3A">
        <w:tc>
          <w:tcPr>
            <w:tcW w:w="360" w:type="dxa"/>
          </w:tcPr>
          <w:p w:rsidR="00873204" w:rsidRPr="00873204" w:rsidRDefault="00873204" w:rsidP="00A71E3A">
            <w:pPr>
              <w:ind w:left="-108" w:right="-108"/>
              <w:jc w:val="both"/>
              <w:rPr>
                <w:lang w:val="uk-UA" w:eastAsia="uk-UA"/>
              </w:rPr>
            </w:pPr>
            <w:r w:rsidRPr="00873204">
              <w:rPr>
                <w:lang w:val="uk-UA" w:eastAsia="uk-UA"/>
              </w:rPr>
              <w:t>4.</w:t>
            </w:r>
          </w:p>
        </w:tc>
        <w:tc>
          <w:tcPr>
            <w:tcW w:w="5040" w:type="dxa"/>
          </w:tcPr>
          <w:p w:rsidR="00873204" w:rsidRPr="00873204" w:rsidRDefault="00873204" w:rsidP="00A71E3A">
            <w:pPr>
              <w:jc w:val="both"/>
              <w:rPr>
                <w:lang w:val="uk-UA" w:eastAsia="uk-UA"/>
              </w:rPr>
            </w:pPr>
            <w:r w:rsidRPr="00873204">
              <w:rPr>
                <w:lang w:val="uk-UA" w:eastAsia="uk-UA"/>
              </w:rPr>
              <w:t>Проводити роботу щодо забезпечення створення нових робочих місць, додержання мінімальних гарантій оплати праці, повноти і своєчасності виплати заробітної плати та сплати до бюджету податків на доходи фізичних осіб, недопущення фактів «тіньової зайнятості» і випадків порушення законодавства про оплату праці</w:t>
            </w:r>
          </w:p>
        </w:tc>
        <w:tc>
          <w:tcPr>
            <w:tcW w:w="1260" w:type="dxa"/>
          </w:tcPr>
          <w:p w:rsidR="00873204" w:rsidRPr="00873204" w:rsidRDefault="00873204" w:rsidP="00A71E3A">
            <w:pPr>
              <w:ind w:left="-108" w:right="-108"/>
              <w:jc w:val="both"/>
              <w:rPr>
                <w:lang w:val="uk-UA" w:eastAsia="uk-UA"/>
              </w:rPr>
            </w:pPr>
            <w:r w:rsidRPr="00873204">
              <w:rPr>
                <w:lang w:val="uk-UA" w:eastAsia="uk-UA"/>
              </w:rPr>
              <w:t>Протягом року</w:t>
            </w:r>
          </w:p>
        </w:tc>
        <w:tc>
          <w:tcPr>
            <w:tcW w:w="3600" w:type="dxa"/>
          </w:tcPr>
          <w:p w:rsidR="00873204" w:rsidRPr="00873204" w:rsidRDefault="00873204" w:rsidP="00A71E3A">
            <w:pPr>
              <w:jc w:val="both"/>
              <w:rPr>
                <w:lang w:val="uk-UA" w:eastAsia="uk-UA"/>
              </w:rPr>
            </w:pPr>
            <w:r w:rsidRPr="00873204">
              <w:rPr>
                <w:lang w:val="uk-UA" w:eastAsia="uk-UA"/>
              </w:rPr>
              <w:t>Заступник сільського голови з господарських питань та охорони праці</w:t>
            </w:r>
          </w:p>
        </w:tc>
      </w:tr>
      <w:tr w:rsidR="00873204" w:rsidRPr="00873204" w:rsidTr="00A71E3A">
        <w:tc>
          <w:tcPr>
            <w:tcW w:w="360" w:type="dxa"/>
          </w:tcPr>
          <w:p w:rsidR="00873204" w:rsidRPr="00873204" w:rsidRDefault="00873204" w:rsidP="00A71E3A">
            <w:pPr>
              <w:ind w:left="-108" w:right="-108"/>
              <w:jc w:val="both"/>
              <w:rPr>
                <w:lang w:val="uk-UA" w:eastAsia="uk-UA"/>
              </w:rPr>
            </w:pPr>
            <w:r w:rsidRPr="00873204">
              <w:rPr>
                <w:lang w:val="uk-UA" w:eastAsia="uk-UA"/>
              </w:rPr>
              <w:t>5.</w:t>
            </w:r>
          </w:p>
        </w:tc>
        <w:tc>
          <w:tcPr>
            <w:tcW w:w="5040" w:type="dxa"/>
          </w:tcPr>
          <w:p w:rsidR="00873204" w:rsidRPr="00873204" w:rsidRDefault="00873204" w:rsidP="00A71E3A">
            <w:pPr>
              <w:jc w:val="both"/>
              <w:rPr>
                <w:lang w:val="uk-UA" w:eastAsia="uk-UA"/>
              </w:rPr>
            </w:pPr>
            <w:r w:rsidRPr="00873204">
              <w:rPr>
                <w:lang w:val="uk-UA" w:eastAsia="uk-UA"/>
              </w:rPr>
              <w:t>Провести роботу щодо попередження та виявлення порушень земельного законодавства у сфері земельних відносин. Проводити інвентаризацію земельних ділянок і землекористувачів та організувати роботу щодо оформлення прав землекористувачів.</w:t>
            </w:r>
          </w:p>
          <w:p w:rsidR="00873204" w:rsidRPr="00873204" w:rsidRDefault="00873204" w:rsidP="00A71E3A">
            <w:pPr>
              <w:jc w:val="both"/>
              <w:rPr>
                <w:lang w:val="uk-UA" w:eastAsia="uk-UA"/>
              </w:rPr>
            </w:pPr>
          </w:p>
          <w:p w:rsidR="00873204" w:rsidRPr="00873204" w:rsidRDefault="00873204" w:rsidP="00A71E3A">
            <w:pPr>
              <w:jc w:val="both"/>
              <w:rPr>
                <w:lang w:val="uk-UA" w:eastAsia="uk-UA"/>
              </w:rPr>
            </w:pPr>
          </w:p>
        </w:tc>
        <w:tc>
          <w:tcPr>
            <w:tcW w:w="1260" w:type="dxa"/>
          </w:tcPr>
          <w:p w:rsidR="00873204" w:rsidRPr="00873204" w:rsidRDefault="00873204" w:rsidP="00A71E3A">
            <w:pPr>
              <w:ind w:left="-108" w:right="-108"/>
              <w:jc w:val="both"/>
              <w:rPr>
                <w:lang w:val="uk-UA" w:eastAsia="uk-UA"/>
              </w:rPr>
            </w:pPr>
            <w:r w:rsidRPr="00873204">
              <w:rPr>
                <w:lang w:val="uk-UA" w:eastAsia="uk-UA"/>
              </w:rPr>
              <w:t xml:space="preserve">Протягом року </w:t>
            </w:r>
          </w:p>
        </w:tc>
        <w:tc>
          <w:tcPr>
            <w:tcW w:w="3600" w:type="dxa"/>
          </w:tcPr>
          <w:p w:rsidR="00873204" w:rsidRPr="00873204" w:rsidRDefault="00873204" w:rsidP="00A71E3A">
            <w:pPr>
              <w:ind w:right="-108"/>
              <w:rPr>
                <w:lang w:val="uk-UA" w:eastAsia="uk-UA"/>
              </w:rPr>
            </w:pPr>
            <w:r w:rsidRPr="00873204">
              <w:rPr>
                <w:bCs/>
                <w:lang w:val="uk-UA" w:eastAsia="uk-UA"/>
              </w:rPr>
              <w:t>Постійна комісія з питань земельних відносин, будівництва, транспорту, зв’язку, екології, благоустрою, комунальної власності, житлово-комунального господарства та охорони навколишнього середовища</w:t>
            </w:r>
          </w:p>
        </w:tc>
      </w:tr>
      <w:tr w:rsidR="00873204" w:rsidRPr="00873204" w:rsidTr="00A71E3A">
        <w:tc>
          <w:tcPr>
            <w:tcW w:w="360" w:type="dxa"/>
          </w:tcPr>
          <w:p w:rsidR="00873204" w:rsidRPr="00873204" w:rsidRDefault="00873204" w:rsidP="00A71E3A">
            <w:pPr>
              <w:ind w:left="-108" w:right="-108"/>
              <w:jc w:val="both"/>
              <w:rPr>
                <w:lang w:val="uk-UA" w:eastAsia="uk-UA"/>
              </w:rPr>
            </w:pPr>
            <w:r w:rsidRPr="00873204">
              <w:rPr>
                <w:lang w:val="uk-UA" w:eastAsia="uk-UA"/>
              </w:rPr>
              <w:t>6.</w:t>
            </w:r>
          </w:p>
        </w:tc>
        <w:tc>
          <w:tcPr>
            <w:tcW w:w="5040" w:type="dxa"/>
          </w:tcPr>
          <w:p w:rsidR="00873204" w:rsidRPr="00873204" w:rsidRDefault="00873204" w:rsidP="00A71E3A">
            <w:pPr>
              <w:jc w:val="both"/>
              <w:rPr>
                <w:lang w:val="uk-UA" w:eastAsia="uk-UA"/>
              </w:rPr>
            </w:pPr>
            <w:r w:rsidRPr="00873204">
              <w:rPr>
                <w:lang w:val="uk-UA" w:eastAsia="uk-UA"/>
              </w:rPr>
              <w:t xml:space="preserve">Рекомендувати переглянути ставки місцевих податків і зборів, зокрема податку на майно, з </w:t>
            </w:r>
            <w:r w:rsidRPr="00873204">
              <w:rPr>
                <w:lang w:val="uk-UA" w:eastAsia="uk-UA"/>
              </w:rPr>
              <w:lastRenderedPageBreak/>
              <w:t>урахуванням діючих норм Податкового кодексу України, а також надані пільги зі сплати податків і зборів та проаналізувати доцільність їх надання</w:t>
            </w:r>
          </w:p>
        </w:tc>
        <w:tc>
          <w:tcPr>
            <w:tcW w:w="1260" w:type="dxa"/>
          </w:tcPr>
          <w:p w:rsidR="00873204" w:rsidRPr="00873204" w:rsidRDefault="00873204" w:rsidP="00A71E3A">
            <w:pPr>
              <w:ind w:left="-108" w:right="-108"/>
              <w:rPr>
                <w:lang w:val="uk-UA" w:eastAsia="uk-UA"/>
              </w:rPr>
            </w:pPr>
            <w:r w:rsidRPr="00873204">
              <w:rPr>
                <w:lang w:val="uk-UA" w:eastAsia="uk-UA"/>
              </w:rPr>
              <w:lastRenderedPageBreak/>
              <w:t xml:space="preserve">До червня поточного </w:t>
            </w:r>
            <w:r w:rsidRPr="00873204">
              <w:rPr>
                <w:lang w:val="uk-UA" w:eastAsia="uk-UA"/>
              </w:rPr>
              <w:lastRenderedPageBreak/>
              <w:t>року</w:t>
            </w:r>
          </w:p>
        </w:tc>
        <w:tc>
          <w:tcPr>
            <w:tcW w:w="3600" w:type="dxa"/>
          </w:tcPr>
          <w:p w:rsidR="00873204" w:rsidRPr="00873204" w:rsidRDefault="00873204" w:rsidP="00A71E3A">
            <w:pPr>
              <w:rPr>
                <w:lang w:val="uk-UA" w:eastAsia="uk-UA"/>
              </w:rPr>
            </w:pPr>
            <w:r w:rsidRPr="00873204">
              <w:rPr>
                <w:lang w:val="uk-UA" w:eastAsia="uk-UA"/>
              </w:rPr>
              <w:lastRenderedPageBreak/>
              <w:t xml:space="preserve">Фінансово-економічний відділ, відділ земельних відносин, </w:t>
            </w:r>
            <w:r w:rsidRPr="00873204">
              <w:rPr>
                <w:lang w:val="uk-UA" w:eastAsia="uk-UA"/>
              </w:rPr>
              <w:lastRenderedPageBreak/>
              <w:t>комунальної власності, інфраструктури та житлово-комунального господарства</w:t>
            </w:r>
          </w:p>
        </w:tc>
      </w:tr>
      <w:tr w:rsidR="00873204" w:rsidRPr="00873204" w:rsidTr="00A71E3A">
        <w:tc>
          <w:tcPr>
            <w:tcW w:w="360" w:type="dxa"/>
          </w:tcPr>
          <w:p w:rsidR="00873204" w:rsidRPr="00873204" w:rsidRDefault="00873204" w:rsidP="00A71E3A">
            <w:pPr>
              <w:ind w:left="-108" w:right="-108"/>
              <w:jc w:val="both"/>
              <w:rPr>
                <w:lang w:val="uk-UA" w:eastAsia="uk-UA"/>
              </w:rPr>
            </w:pPr>
            <w:r w:rsidRPr="00873204">
              <w:rPr>
                <w:lang w:val="uk-UA" w:eastAsia="uk-UA"/>
              </w:rPr>
              <w:lastRenderedPageBreak/>
              <w:t>7.</w:t>
            </w:r>
          </w:p>
        </w:tc>
        <w:tc>
          <w:tcPr>
            <w:tcW w:w="5040" w:type="dxa"/>
          </w:tcPr>
          <w:p w:rsidR="00873204" w:rsidRPr="00873204" w:rsidRDefault="00873204" w:rsidP="00A71E3A">
            <w:pPr>
              <w:jc w:val="both"/>
              <w:rPr>
                <w:lang w:val="uk-UA" w:eastAsia="uk-UA"/>
              </w:rPr>
            </w:pPr>
            <w:r w:rsidRPr="00873204">
              <w:rPr>
                <w:lang w:val="uk-UA" w:eastAsia="uk-UA"/>
              </w:rPr>
              <w:t>Своєчасно проводити перегляд діючих договорів оренди земельних ділянок, зокрема у частині приведення розміру орендної плати у відповідність до вимог чинного Податкового кодексу України</w:t>
            </w:r>
          </w:p>
        </w:tc>
        <w:tc>
          <w:tcPr>
            <w:tcW w:w="1260" w:type="dxa"/>
          </w:tcPr>
          <w:p w:rsidR="00873204" w:rsidRPr="00873204" w:rsidRDefault="00873204" w:rsidP="00A71E3A">
            <w:pPr>
              <w:ind w:left="-108" w:right="-108"/>
              <w:jc w:val="both"/>
              <w:rPr>
                <w:lang w:val="uk-UA" w:eastAsia="uk-UA"/>
              </w:rPr>
            </w:pPr>
            <w:r w:rsidRPr="00873204">
              <w:rPr>
                <w:lang w:val="uk-UA" w:eastAsia="uk-UA"/>
              </w:rPr>
              <w:t xml:space="preserve">Протягом року </w:t>
            </w:r>
          </w:p>
        </w:tc>
        <w:tc>
          <w:tcPr>
            <w:tcW w:w="3600" w:type="dxa"/>
          </w:tcPr>
          <w:p w:rsidR="00873204" w:rsidRPr="00873204" w:rsidRDefault="00873204" w:rsidP="00A71E3A">
            <w:pPr>
              <w:ind w:left="-108" w:right="-108"/>
              <w:rPr>
                <w:lang w:val="uk-UA" w:eastAsia="uk-UA"/>
              </w:rPr>
            </w:pPr>
            <w:r w:rsidRPr="00873204">
              <w:rPr>
                <w:bCs/>
                <w:lang w:val="uk-UA" w:eastAsia="uk-UA"/>
              </w:rPr>
              <w:t>Постійна комісія з питань земельних відносин, будівництва, транспорту, зв’язку, екології, благоустрою, комунальної власності, житлово-комунального господарства та охорони навколишнього середовища</w:t>
            </w:r>
          </w:p>
        </w:tc>
      </w:tr>
      <w:tr w:rsidR="00873204" w:rsidRPr="00873204" w:rsidTr="00A71E3A">
        <w:tc>
          <w:tcPr>
            <w:tcW w:w="360" w:type="dxa"/>
          </w:tcPr>
          <w:p w:rsidR="00873204" w:rsidRPr="00873204" w:rsidRDefault="00873204" w:rsidP="00A71E3A">
            <w:pPr>
              <w:ind w:left="-108" w:right="-108"/>
              <w:jc w:val="both"/>
              <w:rPr>
                <w:lang w:val="uk-UA" w:eastAsia="uk-UA"/>
              </w:rPr>
            </w:pPr>
            <w:r w:rsidRPr="00873204">
              <w:rPr>
                <w:lang w:val="uk-UA" w:eastAsia="uk-UA"/>
              </w:rPr>
              <w:t>8.</w:t>
            </w:r>
          </w:p>
        </w:tc>
        <w:tc>
          <w:tcPr>
            <w:tcW w:w="5040" w:type="dxa"/>
          </w:tcPr>
          <w:p w:rsidR="00873204" w:rsidRPr="00873204" w:rsidRDefault="00873204" w:rsidP="00A71E3A">
            <w:pPr>
              <w:jc w:val="both"/>
              <w:rPr>
                <w:lang w:val="uk-UA" w:eastAsia="uk-UA"/>
              </w:rPr>
            </w:pPr>
            <w:r w:rsidRPr="00873204">
              <w:rPr>
                <w:lang w:val="uk-UA" w:eastAsia="uk-UA"/>
              </w:rPr>
              <w:t xml:space="preserve">Розглядати питання щодо припинення права користування земельними ділянками у випадку системної несплати земельного податку або орендної за землю з метою передачі їх у користування платоспроможним суб’єктам господарювання </w:t>
            </w:r>
          </w:p>
        </w:tc>
        <w:tc>
          <w:tcPr>
            <w:tcW w:w="1260" w:type="dxa"/>
          </w:tcPr>
          <w:p w:rsidR="00873204" w:rsidRPr="00873204" w:rsidRDefault="00873204" w:rsidP="00A71E3A">
            <w:pPr>
              <w:ind w:left="-108" w:right="-108"/>
              <w:jc w:val="both"/>
              <w:rPr>
                <w:lang w:val="uk-UA" w:eastAsia="uk-UA"/>
              </w:rPr>
            </w:pPr>
            <w:r w:rsidRPr="00873204">
              <w:rPr>
                <w:lang w:val="uk-UA" w:eastAsia="uk-UA"/>
              </w:rPr>
              <w:t xml:space="preserve">Протягом  року </w:t>
            </w:r>
          </w:p>
        </w:tc>
        <w:tc>
          <w:tcPr>
            <w:tcW w:w="3600" w:type="dxa"/>
          </w:tcPr>
          <w:p w:rsidR="00873204" w:rsidRPr="00873204" w:rsidRDefault="00873204" w:rsidP="00A71E3A">
            <w:pPr>
              <w:rPr>
                <w:lang w:val="uk-UA" w:eastAsia="uk-UA"/>
              </w:rPr>
            </w:pPr>
            <w:r w:rsidRPr="00873204">
              <w:rPr>
                <w:bCs/>
                <w:lang w:val="uk-UA" w:eastAsia="uk-UA"/>
              </w:rPr>
              <w:t>Постійна комісія з питань земельних відносин, будівництва, транспорту, зв’язку, екології, благоустрою, комунальної власності, житлово-комунального господарства та охорони навколишнього середовища:</w:t>
            </w:r>
          </w:p>
        </w:tc>
      </w:tr>
      <w:tr w:rsidR="00873204" w:rsidRPr="00873204" w:rsidTr="00A71E3A">
        <w:tc>
          <w:tcPr>
            <w:tcW w:w="360" w:type="dxa"/>
          </w:tcPr>
          <w:p w:rsidR="00873204" w:rsidRPr="00873204" w:rsidRDefault="00873204" w:rsidP="00A71E3A">
            <w:pPr>
              <w:ind w:left="-108" w:right="-108"/>
              <w:jc w:val="both"/>
              <w:rPr>
                <w:lang w:val="uk-UA" w:eastAsia="uk-UA"/>
              </w:rPr>
            </w:pPr>
            <w:r w:rsidRPr="00873204">
              <w:rPr>
                <w:lang w:val="uk-UA" w:eastAsia="uk-UA"/>
              </w:rPr>
              <w:t>9.</w:t>
            </w:r>
          </w:p>
        </w:tc>
        <w:tc>
          <w:tcPr>
            <w:tcW w:w="5040" w:type="dxa"/>
          </w:tcPr>
          <w:p w:rsidR="00873204" w:rsidRPr="00873204" w:rsidRDefault="00873204" w:rsidP="00A71E3A">
            <w:pPr>
              <w:jc w:val="both"/>
              <w:rPr>
                <w:lang w:val="uk-UA" w:eastAsia="uk-UA"/>
              </w:rPr>
            </w:pPr>
            <w:r w:rsidRPr="00873204">
              <w:rPr>
                <w:lang w:val="uk-UA" w:eastAsia="uk-UA"/>
              </w:rPr>
              <w:t>Забезпечити контроль за виконанням умов договорів купівлі-продажу земельних ділянок, своєчасним та в повному обсязі надходженням коштів до місцевого бюджету. При укладенні нових договорів купівлі-продажу земельних ділянок виважено підходити  до здійснення розрахунків із розстроченням платежу</w:t>
            </w:r>
          </w:p>
        </w:tc>
        <w:tc>
          <w:tcPr>
            <w:tcW w:w="1260" w:type="dxa"/>
          </w:tcPr>
          <w:p w:rsidR="00873204" w:rsidRPr="00873204" w:rsidRDefault="00873204" w:rsidP="00A71E3A">
            <w:pPr>
              <w:ind w:left="-108" w:right="-108"/>
              <w:jc w:val="both"/>
              <w:rPr>
                <w:lang w:val="uk-UA" w:eastAsia="uk-UA"/>
              </w:rPr>
            </w:pPr>
            <w:r w:rsidRPr="00873204">
              <w:rPr>
                <w:lang w:val="uk-UA" w:eastAsia="uk-UA"/>
              </w:rPr>
              <w:t xml:space="preserve">Протягом  року </w:t>
            </w:r>
          </w:p>
        </w:tc>
        <w:tc>
          <w:tcPr>
            <w:tcW w:w="3600" w:type="dxa"/>
          </w:tcPr>
          <w:p w:rsidR="00873204" w:rsidRPr="00873204" w:rsidRDefault="00873204" w:rsidP="00A71E3A">
            <w:pPr>
              <w:rPr>
                <w:lang w:val="uk-UA" w:eastAsia="uk-UA"/>
              </w:rPr>
            </w:pPr>
            <w:r w:rsidRPr="00873204">
              <w:rPr>
                <w:bCs/>
                <w:lang w:val="uk-UA" w:eastAsia="uk-UA"/>
              </w:rPr>
              <w:t>Постійна комісія з питань земельних відносин, будівництва, транспорту, зв’язку, екології, благоустрою, комунальної власності, житлово-комунального господарства та охорони навколишнього середовища:</w:t>
            </w:r>
          </w:p>
        </w:tc>
      </w:tr>
      <w:tr w:rsidR="00873204" w:rsidRPr="00873204" w:rsidTr="00A71E3A">
        <w:tc>
          <w:tcPr>
            <w:tcW w:w="360" w:type="dxa"/>
          </w:tcPr>
          <w:p w:rsidR="00873204" w:rsidRPr="00873204" w:rsidRDefault="00873204" w:rsidP="00A71E3A">
            <w:pPr>
              <w:ind w:left="-108" w:right="-108"/>
              <w:jc w:val="both"/>
              <w:rPr>
                <w:lang w:val="uk-UA" w:eastAsia="uk-UA"/>
              </w:rPr>
            </w:pPr>
            <w:r w:rsidRPr="00873204">
              <w:rPr>
                <w:lang w:val="uk-UA" w:eastAsia="uk-UA"/>
              </w:rPr>
              <w:t>10.</w:t>
            </w:r>
          </w:p>
        </w:tc>
        <w:tc>
          <w:tcPr>
            <w:tcW w:w="5040" w:type="dxa"/>
          </w:tcPr>
          <w:p w:rsidR="00873204" w:rsidRPr="00873204" w:rsidRDefault="00873204" w:rsidP="00A71E3A">
            <w:pPr>
              <w:jc w:val="both"/>
              <w:rPr>
                <w:lang w:val="uk-UA" w:eastAsia="uk-UA"/>
              </w:rPr>
            </w:pPr>
            <w:r w:rsidRPr="00873204">
              <w:rPr>
                <w:lang w:val="uk-UA" w:eastAsia="uk-UA"/>
              </w:rPr>
              <w:t>Вживати заходи щодо дотримання норм законодавства суб’єктами господарювання стосовно повного та своєчасного проведення розрахунків з власниками земельних ділянок сільськогосподарського призначення, земельних часток (паїв), майна та майнових часток (паїв) і відповідного перерахування до місцевого бюджету податку на доходи фізичних осіб</w:t>
            </w:r>
          </w:p>
        </w:tc>
        <w:tc>
          <w:tcPr>
            <w:tcW w:w="1260" w:type="dxa"/>
          </w:tcPr>
          <w:p w:rsidR="00873204" w:rsidRPr="00873204" w:rsidRDefault="00873204" w:rsidP="00A71E3A">
            <w:pPr>
              <w:ind w:left="-108" w:right="-108"/>
              <w:jc w:val="both"/>
              <w:rPr>
                <w:lang w:val="uk-UA" w:eastAsia="uk-UA"/>
              </w:rPr>
            </w:pPr>
            <w:r w:rsidRPr="00873204">
              <w:rPr>
                <w:lang w:val="uk-UA" w:eastAsia="uk-UA"/>
              </w:rPr>
              <w:t xml:space="preserve">Протягом року </w:t>
            </w:r>
          </w:p>
        </w:tc>
        <w:tc>
          <w:tcPr>
            <w:tcW w:w="3600" w:type="dxa"/>
          </w:tcPr>
          <w:p w:rsidR="00873204" w:rsidRPr="00873204" w:rsidRDefault="00873204" w:rsidP="00A71E3A">
            <w:pPr>
              <w:rPr>
                <w:lang w:val="uk-UA" w:eastAsia="uk-UA"/>
              </w:rPr>
            </w:pPr>
            <w:r w:rsidRPr="00873204">
              <w:rPr>
                <w:bCs/>
                <w:lang w:val="uk-UA" w:eastAsia="uk-UA"/>
              </w:rPr>
              <w:t>Постійна комісія з питань земельних відносин, будівництва, транспорту, зв’язку, екології, благоустрою, комунальної власності, житлово-комунального господарства та охорони навколишнього середовища:</w:t>
            </w:r>
          </w:p>
        </w:tc>
      </w:tr>
      <w:tr w:rsidR="00873204" w:rsidRPr="00873204" w:rsidTr="00A71E3A">
        <w:tc>
          <w:tcPr>
            <w:tcW w:w="360" w:type="dxa"/>
          </w:tcPr>
          <w:p w:rsidR="00873204" w:rsidRPr="00873204" w:rsidRDefault="00873204" w:rsidP="00A71E3A">
            <w:pPr>
              <w:ind w:left="-108" w:right="-108"/>
              <w:jc w:val="both"/>
              <w:rPr>
                <w:lang w:val="uk-UA" w:eastAsia="uk-UA"/>
              </w:rPr>
            </w:pPr>
            <w:r w:rsidRPr="00873204">
              <w:rPr>
                <w:lang w:val="uk-UA" w:eastAsia="uk-UA"/>
              </w:rPr>
              <w:t>11.</w:t>
            </w:r>
          </w:p>
        </w:tc>
        <w:tc>
          <w:tcPr>
            <w:tcW w:w="5040" w:type="dxa"/>
          </w:tcPr>
          <w:p w:rsidR="00873204" w:rsidRPr="00873204" w:rsidRDefault="00873204" w:rsidP="00A71E3A">
            <w:pPr>
              <w:jc w:val="both"/>
              <w:rPr>
                <w:lang w:val="uk-UA" w:eastAsia="uk-UA"/>
              </w:rPr>
            </w:pPr>
            <w:r w:rsidRPr="00873204">
              <w:rPr>
                <w:lang w:val="uk-UA" w:eastAsia="uk-UA"/>
              </w:rPr>
              <w:t xml:space="preserve">Забезпечити погашення орендарями заборгованості по платі за оренду майна, що належить до спільної власності територіальної громади. Для збільшення надходжень, ініціювати питання перегляду розміру орендної плати відповідно до ринкових умов та вживати заходи для своєчасного проведення розрахунків у поточному році. </w:t>
            </w:r>
          </w:p>
        </w:tc>
        <w:tc>
          <w:tcPr>
            <w:tcW w:w="1260" w:type="dxa"/>
          </w:tcPr>
          <w:p w:rsidR="00873204" w:rsidRPr="00873204" w:rsidRDefault="00873204" w:rsidP="00A71E3A">
            <w:pPr>
              <w:ind w:left="-108" w:right="-108"/>
              <w:jc w:val="both"/>
              <w:rPr>
                <w:lang w:val="uk-UA" w:eastAsia="uk-UA"/>
              </w:rPr>
            </w:pPr>
            <w:r w:rsidRPr="00873204">
              <w:rPr>
                <w:lang w:val="uk-UA" w:eastAsia="uk-UA"/>
              </w:rPr>
              <w:t xml:space="preserve">Протягом  року </w:t>
            </w:r>
          </w:p>
        </w:tc>
        <w:tc>
          <w:tcPr>
            <w:tcW w:w="3600" w:type="dxa"/>
          </w:tcPr>
          <w:p w:rsidR="00873204" w:rsidRPr="00873204" w:rsidRDefault="00873204" w:rsidP="00A71E3A">
            <w:pPr>
              <w:rPr>
                <w:lang w:val="uk-UA" w:eastAsia="uk-UA"/>
              </w:rPr>
            </w:pPr>
            <w:r w:rsidRPr="00873204">
              <w:rPr>
                <w:bCs/>
                <w:lang w:val="uk-UA" w:eastAsia="uk-UA"/>
              </w:rPr>
              <w:t>Постійна комісія з питань земельних відносин, будівництва, транспорту, зв’язку, екології, благоустрою, комунальної власності, житлово-комунального господарства та охорони навколишнього середовища:</w:t>
            </w:r>
          </w:p>
        </w:tc>
      </w:tr>
      <w:tr w:rsidR="00873204" w:rsidRPr="00873204" w:rsidTr="00A71E3A">
        <w:tc>
          <w:tcPr>
            <w:tcW w:w="360" w:type="dxa"/>
          </w:tcPr>
          <w:p w:rsidR="00873204" w:rsidRPr="00873204" w:rsidRDefault="00873204" w:rsidP="00A71E3A">
            <w:pPr>
              <w:ind w:left="-108" w:right="-108"/>
              <w:jc w:val="both"/>
              <w:rPr>
                <w:lang w:val="uk-UA" w:eastAsia="uk-UA"/>
              </w:rPr>
            </w:pPr>
            <w:r w:rsidRPr="00873204">
              <w:rPr>
                <w:lang w:val="uk-UA" w:eastAsia="uk-UA"/>
              </w:rPr>
              <w:t>12.</w:t>
            </w:r>
          </w:p>
        </w:tc>
        <w:tc>
          <w:tcPr>
            <w:tcW w:w="5040" w:type="dxa"/>
          </w:tcPr>
          <w:p w:rsidR="00873204" w:rsidRPr="00873204" w:rsidRDefault="00873204" w:rsidP="00A71E3A">
            <w:pPr>
              <w:jc w:val="both"/>
              <w:rPr>
                <w:lang w:val="uk-UA" w:eastAsia="uk-UA"/>
              </w:rPr>
            </w:pPr>
            <w:r w:rsidRPr="00873204">
              <w:rPr>
                <w:lang w:val="uk-UA" w:eastAsia="uk-UA"/>
              </w:rPr>
              <w:t>Вжити заходи щодо безумовного виконання статті 77 Бюджетного кодексу України у частині врахування в першочерговому порядку потреби в коштах:</w:t>
            </w:r>
          </w:p>
          <w:p w:rsidR="00873204" w:rsidRPr="00873204" w:rsidRDefault="00873204" w:rsidP="00A71E3A">
            <w:pPr>
              <w:jc w:val="both"/>
              <w:rPr>
                <w:lang w:val="uk-UA" w:eastAsia="uk-UA"/>
              </w:rPr>
            </w:pPr>
            <w:r w:rsidRPr="00873204">
              <w:rPr>
                <w:lang w:val="uk-UA" w:eastAsia="uk-UA"/>
              </w:rPr>
              <w:t>- на оплату праці працівників бюджетних установ відповідно до встановлених чинним законодавством умов оплати праці та розміру мінімальної заробітної плати;</w:t>
            </w:r>
          </w:p>
          <w:p w:rsidR="00873204" w:rsidRPr="00873204" w:rsidRDefault="00873204" w:rsidP="00A71E3A">
            <w:pPr>
              <w:jc w:val="both"/>
              <w:rPr>
                <w:lang w:val="uk-UA" w:eastAsia="uk-UA"/>
              </w:rPr>
            </w:pPr>
            <w:r w:rsidRPr="00873204">
              <w:rPr>
                <w:lang w:val="uk-UA" w:eastAsia="uk-UA"/>
              </w:rPr>
              <w:t xml:space="preserve">- на проведення розрахунків за електричну, природний газ та послуги зв’язку, які </w:t>
            </w:r>
            <w:r w:rsidRPr="00873204">
              <w:rPr>
                <w:lang w:val="uk-UA" w:eastAsia="uk-UA"/>
              </w:rPr>
              <w:lastRenderedPageBreak/>
              <w:t xml:space="preserve">споживаються бюджетними установами </w:t>
            </w:r>
          </w:p>
        </w:tc>
        <w:tc>
          <w:tcPr>
            <w:tcW w:w="1260" w:type="dxa"/>
          </w:tcPr>
          <w:p w:rsidR="00873204" w:rsidRPr="00873204" w:rsidRDefault="00873204" w:rsidP="00A71E3A">
            <w:pPr>
              <w:ind w:left="-108" w:right="-108"/>
              <w:jc w:val="both"/>
              <w:rPr>
                <w:lang w:val="uk-UA" w:eastAsia="uk-UA"/>
              </w:rPr>
            </w:pPr>
            <w:r w:rsidRPr="00873204">
              <w:rPr>
                <w:lang w:val="uk-UA" w:eastAsia="uk-UA"/>
              </w:rPr>
              <w:lastRenderedPageBreak/>
              <w:t>Протягом  року</w:t>
            </w:r>
          </w:p>
        </w:tc>
        <w:tc>
          <w:tcPr>
            <w:tcW w:w="3600" w:type="dxa"/>
          </w:tcPr>
          <w:p w:rsidR="00873204" w:rsidRPr="00873204" w:rsidRDefault="00873204" w:rsidP="00A71E3A">
            <w:pPr>
              <w:rPr>
                <w:lang w:val="uk-UA" w:eastAsia="uk-UA"/>
              </w:rPr>
            </w:pPr>
            <w:r w:rsidRPr="00873204">
              <w:rPr>
                <w:lang w:val="uk-UA" w:eastAsia="uk-UA"/>
              </w:rPr>
              <w:t>Фінансово-економічний відділ, головні розпорядники коштів</w:t>
            </w:r>
          </w:p>
        </w:tc>
      </w:tr>
      <w:tr w:rsidR="00873204" w:rsidRPr="00873204" w:rsidTr="00A71E3A">
        <w:tc>
          <w:tcPr>
            <w:tcW w:w="360" w:type="dxa"/>
          </w:tcPr>
          <w:p w:rsidR="00873204" w:rsidRPr="00873204" w:rsidRDefault="00873204" w:rsidP="00A71E3A">
            <w:pPr>
              <w:ind w:left="-108" w:right="-108"/>
              <w:jc w:val="both"/>
              <w:rPr>
                <w:lang w:val="uk-UA" w:eastAsia="uk-UA"/>
              </w:rPr>
            </w:pPr>
            <w:r w:rsidRPr="00873204">
              <w:rPr>
                <w:lang w:val="uk-UA" w:eastAsia="uk-UA"/>
              </w:rPr>
              <w:lastRenderedPageBreak/>
              <w:t>13.</w:t>
            </w:r>
          </w:p>
        </w:tc>
        <w:tc>
          <w:tcPr>
            <w:tcW w:w="5040" w:type="dxa"/>
          </w:tcPr>
          <w:p w:rsidR="00873204" w:rsidRPr="00873204" w:rsidRDefault="00873204" w:rsidP="00A71E3A">
            <w:pPr>
              <w:jc w:val="both"/>
              <w:rPr>
                <w:lang w:val="uk-UA" w:eastAsia="uk-UA"/>
              </w:rPr>
            </w:pPr>
            <w:r w:rsidRPr="00873204">
              <w:rPr>
                <w:lang w:val="uk-UA" w:eastAsia="uk-UA"/>
              </w:rPr>
              <w:t>Установити ліміти споживання енергоносіїв у натуральних показниках для кожної бюджетної установи, виходячи з обсягів відповідних бюджетних асигнувань на рік.</w:t>
            </w:r>
          </w:p>
          <w:p w:rsidR="00873204" w:rsidRPr="00873204" w:rsidRDefault="00873204" w:rsidP="00A71E3A">
            <w:pPr>
              <w:jc w:val="both"/>
              <w:rPr>
                <w:lang w:val="uk-UA" w:eastAsia="uk-UA"/>
              </w:rPr>
            </w:pPr>
            <w:r w:rsidRPr="00873204">
              <w:rPr>
                <w:lang w:val="uk-UA" w:eastAsia="uk-UA"/>
              </w:rPr>
              <w:t>Забезпечити укладання договорів по кожному виду енергоносіїв у межах, встановлених відповідним головним розпорядником бюджетних коштів обґрунтованих лімітів споживання.</w:t>
            </w:r>
          </w:p>
        </w:tc>
        <w:tc>
          <w:tcPr>
            <w:tcW w:w="1260" w:type="dxa"/>
          </w:tcPr>
          <w:p w:rsidR="00873204" w:rsidRPr="00873204" w:rsidRDefault="00873204" w:rsidP="00A71E3A">
            <w:pPr>
              <w:ind w:left="-108" w:right="-108"/>
              <w:jc w:val="both"/>
              <w:rPr>
                <w:lang w:val="uk-UA" w:eastAsia="uk-UA"/>
              </w:rPr>
            </w:pPr>
            <w:r w:rsidRPr="00873204">
              <w:rPr>
                <w:lang w:val="uk-UA" w:eastAsia="uk-UA"/>
              </w:rPr>
              <w:t>Протягом року</w:t>
            </w:r>
          </w:p>
        </w:tc>
        <w:tc>
          <w:tcPr>
            <w:tcW w:w="3600" w:type="dxa"/>
          </w:tcPr>
          <w:p w:rsidR="00873204" w:rsidRPr="00873204" w:rsidRDefault="00873204" w:rsidP="00A71E3A">
            <w:pPr>
              <w:rPr>
                <w:lang w:val="uk-UA" w:eastAsia="uk-UA"/>
              </w:rPr>
            </w:pPr>
            <w:r w:rsidRPr="00873204">
              <w:rPr>
                <w:lang w:val="uk-UA" w:eastAsia="uk-UA"/>
              </w:rPr>
              <w:t>Головний розпорядник коштів</w:t>
            </w:r>
          </w:p>
        </w:tc>
      </w:tr>
      <w:tr w:rsidR="00873204" w:rsidRPr="00873204" w:rsidTr="00A71E3A">
        <w:tc>
          <w:tcPr>
            <w:tcW w:w="360" w:type="dxa"/>
          </w:tcPr>
          <w:p w:rsidR="00873204" w:rsidRPr="00873204" w:rsidRDefault="00873204" w:rsidP="00A71E3A">
            <w:pPr>
              <w:ind w:left="-108" w:right="-108"/>
              <w:jc w:val="both"/>
              <w:rPr>
                <w:lang w:val="uk-UA" w:eastAsia="uk-UA"/>
              </w:rPr>
            </w:pPr>
            <w:r w:rsidRPr="00873204">
              <w:rPr>
                <w:lang w:val="uk-UA" w:eastAsia="uk-UA"/>
              </w:rPr>
              <w:t>14.</w:t>
            </w:r>
          </w:p>
        </w:tc>
        <w:tc>
          <w:tcPr>
            <w:tcW w:w="5040" w:type="dxa"/>
          </w:tcPr>
          <w:p w:rsidR="00873204" w:rsidRPr="00873204" w:rsidRDefault="00873204" w:rsidP="00A71E3A">
            <w:pPr>
              <w:jc w:val="both"/>
              <w:rPr>
                <w:lang w:val="uk-UA" w:eastAsia="uk-UA"/>
              </w:rPr>
            </w:pPr>
            <w:r w:rsidRPr="00873204">
              <w:rPr>
                <w:lang w:val="uk-UA" w:eastAsia="uk-UA"/>
              </w:rPr>
              <w:t>Розробити та затвердити для кожної бюджетної установи заходи щодо жорстокої економії споживання енергоносіїв</w:t>
            </w:r>
          </w:p>
        </w:tc>
        <w:tc>
          <w:tcPr>
            <w:tcW w:w="1260" w:type="dxa"/>
          </w:tcPr>
          <w:p w:rsidR="00873204" w:rsidRPr="00873204" w:rsidRDefault="00873204" w:rsidP="00A71E3A">
            <w:pPr>
              <w:ind w:left="-108" w:right="-108"/>
              <w:jc w:val="both"/>
              <w:rPr>
                <w:lang w:val="uk-UA" w:eastAsia="uk-UA"/>
              </w:rPr>
            </w:pPr>
            <w:r w:rsidRPr="00873204">
              <w:rPr>
                <w:lang w:val="uk-UA" w:eastAsia="uk-UA"/>
              </w:rPr>
              <w:t>Протягом року</w:t>
            </w:r>
          </w:p>
        </w:tc>
        <w:tc>
          <w:tcPr>
            <w:tcW w:w="3600" w:type="dxa"/>
          </w:tcPr>
          <w:p w:rsidR="00873204" w:rsidRPr="00873204" w:rsidRDefault="00873204" w:rsidP="00A71E3A">
            <w:pPr>
              <w:jc w:val="both"/>
              <w:rPr>
                <w:lang w:val="uk-UA" w:eastAsia="uk-UA"/>
              </w:rPr>
            </w:pPr>
            <w:r w:rsidRPr="00873204">
              <w:rPr>
                <w:lang w:val="uk-UA" w:eastAsia="uk-UA"/>
              </w:rPr>
              <w:t>Головний розпорядник коштів</w:t>
            </w:r>
          </w:p>
        </w:tc>
      </w:tr>
      <w:tr w:rsidR="00873204" w:rsidRPr="00873204" w:rsidTr="00A71E3A">
        <w:tc>
          <w:tcPr>
            <w:tcW w:w="360" w:type="dxa"/>
          </w:tcPr>
          <w:p w:rsidR="00873204" w:rsidRPr="00873204" w:rsidRDefault="00873204" w:rsidP="00A71E3A">
            <w:pPr>
              <w:ind w:left="-108" w:right="-108"/>
              <w:jc w:val="both"/>
              <w:rPr>
                <w:lang w:val="uk-UA" w:eastAsia="uk-UA"/>
              </w:rPr>
            </w:pPr>
            <w:r w:rsidRPr="00873204">
              <w:rPr>
                <w:lang w:val="uk-UA" w:eastAsia="uk-UA"/>
              </w:rPr>
              <w:t>15.</w:t>
            </w:r>
          </w:p>
        </w:tc>
        <w:tc>
          <w:tcPr>
            <w:tcW w:w="5040" w:type="dxa"/>
          </w:tcPr>
          <w:p w:rsidR="00873204" w:rsidRPr="00873204" w:rsidRDefault="00873204" w:rsidP="00A71E3A">
            <w:pPr>
              <w:jc w:val="both"/>
              <w:rPr>
                <w:lang w:val="uk-UA" w:eastAsia="uk-UA"/>
              </w:rPr>
            </w:pPr>
            <w:r w:rsidRPr="00873204">
              <w:rPr>
                <w:lang w:val="uk-UA" w:eastAsia="uk-UA"/>
              </w:rPr>
              <w:t>Здійснювати фактичні видатки на заробітну плату, включаючи видатки на премії та інші види винагород, матеріальну допомогу лише в межах фонду заробітної плати, затвердженого в кошторисах і планах використання бюджетних коштів.</w:t>
            </w:r>
          </w:p>
        </w:tc>
        <w:tc>
          <w:tcPr>
            <w:tcW w:w="1260" w:type="dxa"/>
          </w:tcPr>
          <w:p w:rsidR="00873204" w:rsidRPr="00873204" w:rsidRDefault="00873204" w:rsidP="00A71E3A">
            <w:pPr>
              <w:ind w:left="-108" w:right="-108"/>
              <w:jc w:val="both"/>
              <w:rPr>
                <w:lang w:val="uk-UA" w:eastAsia="uk-UA"/>
              </w:rPr>
            </w:pPr>
            <w:r w:rsidRPr="00873204">
              <w:rPr>
                <w:lang w:val="uk-UA" w:eastAsia="uk-UA"/>
              </w:rPr>
              <w:t>Протягом року</w:t>
            </w:r>
          </w:p>
        </w:tc>
        <w:tc>
          <w:tcPr>
            <w:tcW w:w="3600" w:type="dxa"/>
          </w:tcPr>
          <w:p w:rsidR="00873204" w:rsidRPr="00873204" w:rsidRDefault="00873204" w:rsidP="00A71E3A">
            <w:pPr>
              <w:rPr>
                <w:lang w:val="uk-UA" w:eastAsia="uk-UA"/>
              </w:rPr>
            </w:pPr>
            <w:r w:rsidRPr="00873204">
              <w:rPr>
                <w:lang w:val="uk-UA" w:eastAsia="uk-UA"/>
              </w:rPr>
              <w:t>Відділ бухгалтерського обліку та звітності, головний розпорядник коштів</w:t>
            </w:r>
          </w:p>
        </w:tc>
      </w:tr>
      <w:tr w:rsidR="00873204" w:rsidRPr="00873204" w:rsidTr="00A71E3A">
        <w:trPr>
          <w:trHeight w:val="1583"/>
        </w:trPr>
        <w:tc>
          <w:tcPr>
            <w:tcW w:w="360" w:type="dxa"/>
          </w:tcPr>
          <w:p w:rsidR="00873204" w:rsidRPr="00873204" w:rsidRDefault="00873204" w:rsidP="00A71E3A">
            <w:pPr>
              <w:ind w:left="-108" w:right="-108"/>
              <w:jc w:val="both"/>
              <w:rPr>
                <w:lang w:val="uk-UA" w:eastAsia="uk-UA"/>
              </w:rPr>
            </w:pPr>
            <w:r w:rsidRPr="00873204">
              <w:rPr>
                <w:lang w:val="uk-UA" w:eastAsia="uk-UA"/>
              </w:rPr>
              <w:t>16.</w:t>
            </w:r>
          </w:p>
        </w:tc>
        <w:tc>
          <w:tcPr>
            <w:tcW w:w="5040" w:type="dxa"/>
          </w:tcPr>
          <w:p w:rsidR="00873204" w:rsidRPr="00873204" w:rsidRDefault="00873204" w:rsidP="00873204">
            <w:pPr>
              <w:jc w:val="both"/>
              <w:rPr>
                <w:lang w:val="uk-UA" w:eastAsia="uk-UA"/>
              </w:rPr>
            </w:pPr>
            <w:r w:rsidRPr="00873204">
              <w:rPr>
                <w:lang w:val="uk-UA" w:eastAsia="uk-UA"/>
              </w:rPr>
              <w:t xml:space="preserve">Забезпечити під час виконання бюджету своєчасної та у повному обсязі оплати праці працівників бюджетних установ і розрахунків за енергоносії та комунальні послуги, які споживаються бюджетними установами, не допускаючи будь-якої простроченої заборгованості з таких виплат. </w:t>
            </w:r>
          </w:p>
        </w:tc>
        <w:tc>
          <w:tcPr>
            <w:tcW w:w="1260" w:type="dxa"/>
          </w:tcPr>
          <w:p w:rsidR="00873204" w:rsidRPr="00873204" w:rsidRDefault="00873204" w:rsidP="00A71E3A">
            <w:pPr>
              <w:ind w:left="-108" w:right="-108"/>
              <w:jc w:val="both"/>
              <w:rPr>
                <w:lang w:val="uk-UA" w:eastAsia="uk-UA"/>
              </w:rPr>
            </w:pPr>
            <w:r w:rsidRPr="00873204">
              <w:rPr>
                <w:lang w:val="uk-UA" w:eastAsia="uk-UA"/>
              </w:rPr>
              <w:t xml:space="preserve">Протягом  року </w:t>
            </w:r>
          </w:p>
        </w:tc>
        <w:tc>
          <w:tcPr>
            <w:tcW w:w="3600" w:type="dxa"/>
          </w:tcPr>
          <w:p w:rsidR="00873204" w:rsidRPr="00873204" w:rsidRDefault="00873204" w:rsidP="00A71E3A">
            <w:pPr>
              <w:rPr>
                <w:lang w:val="uk-UA" w:eastAsia="uk-UA"/>
              </w:rPr>
            </w:pPr>
            <w:r w:rsidRPr="00873204">
              <w:rPr>
                <w:lang w:val="uk-UA" w:eastAsia="uk-UA"/>
              </w:rPr>
              <w:t>Відділ бухгалтерського обліку та звітності, головні розпорядники коштів</w:t>
            </w:r>
          </w:p>
        </w:tc>
      </w:tr>
      <w:tr w:rsidR="00873204" w:rsidRPr="00873204" w:rsidTr="00A71E3A">
        <w:trPr>
          <w:trHeight w:val="1260"/>
        </w:trPr>
        <w:tc>
          <w:tcPr>
            <w:tcW w:w="360" w:type="dxa"/>
          </w:tcPr>
          <w:p w:rsidR="00873204" w:rsidRPr="00873204" w:rsidRDefault="00873204" w:rsidP="00A71E3A">
            <w:pPr>
              <w:ind w:left="-108" w:right="-108"/>
              <w:jc w:val="both"/>
              <w:rPr>
                <w:lang w:val="uk-UA" w:eastAsia="uk-UA"/>
              </w:rPr>
            </w:pPr>
            <w:r w:rsidRPr="00873204">
              <w:rPr>
                <w:lang w:val="uk-UA" w:eastAsia="uk-UA"/>
              </w:rPr>
              <w:t>17.</w:t>
            </w:r>
          </w:p>
        </w:tc>
        <w:tc>
          <w:tcPr>
            <w:tcW w:w="5040" w:type="dxa"/>
          </w:tcPr>
          <w:p w:rsidR="00873204" w:rsidRPr="00873204" w:rsidRDefault="00873204" w:rsidP="00A71E3A">
            <w:pPr>
              <w:jc w:val="both"/>
              <w:rPr>
                <w:lang w:val="uk-UA" w:eastAsia="uk-UA"/>
              </w:rPr>
            </w:pPr>
            <w:r w:rsidRPr="00873204">
              <w:rPr>
                <w:lang w:val="uk-UA" w:eastAsia="uk-UA"/>
              </w:rPr>
              <w:t>Посилити роз’яснювальну роботу з одержувачами бюджетних коштів і запобігати порушенням, що призводять до втрат фінансових ресурсів і майна, та встановити контроль за ефективним, результативним, цільовим і економним використання бюджетних коштів. Забезпечити дотримання суворої фінансово-бюджетної дисципліни, встановити дієвий внутрішній контроль за повнотою надходжень, взяттям бюджетних зобов’язань одержувачами бюджетних коштів нижчого рівня і витрачанням ними бюджетних коштів.</w:t>
            </w:r>
          </w:p>
          <w:p w:rsidR="00873204" w:rsidRPr="00873204" w:rsidRDefault="00873204" w:rsidP="00A71E3A">
            <w:pPr>
              <w:jc w:val="both"/>
              <w:rPr>
                <w:lang w:val="uk-UA" w:eastAsia="uk-UA"/>
              </w:rPr>
            </w:pPr>
            <w:r w:rsidRPr="00873204">
              <w:rPr>
                <w:lang w:val="uk-UA" w:eastAsia="uk-UA"/>
              </w:rPr>
              <w:t>Заслуховувати на засіданнях комісії питання дотримання фіна</w:t>
            </w:r>
            <w:r>
              <w:rPr>
                <w:lang w:val="uk-UA" w:eastAsia="uk-UA"/>
              </w:rPr>
              <w:t>н</w:t>
            </w:r>
            <w:r w:rsidRPr="00873204">
              <w:rPr>
                <w:lang w:val="uk-UA" w:eastAsia="uk-UA"/>
              </w:rPr>
              <w:t>сово - бюджетної дисципліни.</w:t>
            </w:r>
          </w:p>
        </w:tc>
        <w:tc>
          <w:tcPr>
            <w:tcW w:w="1260" w:type="dxa"/>
          </w:tcPr>
          <w:p w:rsidR="00873204" w:rsidRPr="00873204" w:rsidRDefault="00873204" w:rsidP="00A71E3A">
            <w:pPr>
              <w:ind w:left="-108" w:right="-108"/>
              <w:jc w:val="both"/>
              <w:rPr>
                <w:lang w:val="uk-UA" w:eastAsia="uk-UA"/>
              </w:rPr>
            </w:pPr>
            <w:r w:rsidRPr="00873204">
              <w:rPr>
                <w:lang w:val="uk-UA" w:eastAsia="uk-UA"/>
              </w:rPr>
              <w:t>Протягом року</w:t>
            </w:r>
          </w:p>
        </w:tc>
        <w:tc>
          <w:tcPr>
            <w:tcW w:w="3600" w:type="dxa"/>
          </w:tcPr>
          <w:p w:rsidR="00873204" w:rsidRPr="00873204" w:rsidRDefault="00873204" w:rsidP="00A71E3A">
            <w:pPr>
              <w:jc w:val="both"/>
              <w:rPr>
                <w:lang w:val="uk-UA" w:eastAsia="uk-UA"/>
              </w:rPr>
            </w:pPr>
            <w:r w:rsidRPr="00873204">
              <w:rPr>
                <w:lang w:val="uk-UA" w:eastAsia="uk-UA"/>
              </w:rPr>
              <w:t xml:space="preserve">Сільський </w:t>
            </w:r>
            <w:bookmarkStart w:id="0" w:name="_GoBack"/>
            <w:bookmarkEnd w:id="0"/>
            <w:r w:rsidRPr="00873204">
              <w:rPr>
                <w:lang w:val="uk-UA" w:eastAsia="uk-UA"/>
              </w:rPr>
              <w:t>голова</w:t>
            </w:r>
          </w:p>
        </w:tc>
      </w:tr>
    </w:tbl>
    <w:p w:rsidR="00873204" w:rsidRPr="00873204" w:rsidRDefault="00873204" w:rsidP="00873204">
      <w:pPr>
        <w:rPr>
          <w:lang w:val="uk-UA"/>
        </w:rPr>
      </w:pPr>
    </w:p>
    <w:p w:rsidR="00873204" w:rsidRPr="00873204" w:rsidRDefault="00873204" w:rsidP="00873204">
      <w:pPr>
        <w:rPr>
          <w:lang w:val="uk-UA"/>
        </w:rPr>
      </w:pPr>
    </w:p>
    <w:p w:rsidR="00873204" w:rsidRPr="00873204" w:rsidRDefault="00873204" w:rsidP="00873204">
      <w:pPr>
        <w:rPr>
          <w:lang w:val="uk-UA"/>
        </w:rPr>
      </w:pPr>
    </w:p>
    <w:p w:rsidR="00873204" w:rsidRPr="00873204" w:rsidRDefault="00873204" w:rsidP="00873204">
      <w:pPr>
        <w:rPr>
          <w:lang w:val="uk-UA"/>
        </w:rPr>
      </w:pPr>
    </w:p>
    <w:p w:rsidR="00873204" w:rsidRPr="00873204" w:rsidRDefault="00873204" w:rsidP="00873204">
      <w:pPr>
        <w:jc w:val="center"/>
        <w:rPr>
          <w:lang w:val="uk-UA"/>
        </w:rPr>
      </w:pPr>
      <w:r w:rsidRPr="00873204">
        <w:rPr>
          <w:lang w:val="uk-UA"/>
        </w:rPr>
        <w:t>____________________________________</w:t>
      </w:r>
    </w:p>
    <w:p w:rsidR="00873204" w:rsidRPr="00873204" w:rsidRDefault="00873204" w:rsidP="00873204">
      <w:pPr>
        <w:jc w:val="right"/>
        <w:rPr>
          <w:b/>
          <w:sz w:val="28"/>
          <w:szCs w:val="28"/>
          <w:lang w:val="uk-UA"/>
        </w:rPr>
      </w:pPr>
    </w:p>
    <w:p w:rsidR="00873204" w:rsidRPr="00873204" w:rsidRDefault="00873204">
      <w:pPr>
        <w:rPr>
          <w:lang w:val="uk-UA"/>
        </w:rPr>
      </w:pPr>
    </w:p>
    <w:sectPr w:rsidR="00873204" w:rsidRPr="00873204" w:rsidSect="00250067">
      <w:pgSz w:w="11906" w:h="16838"/>
      <w:pgMar w:top="709" w:right="849"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3204"/>
    <w:rsid w:val="008732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2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A7E4A8-7384-4F94-B000-470544E0D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1121</Words>
  <Characters>6393</Characters>
  <Application>Microsoft Office Word</Application>
  <DocSecurity>0</DocSecurity>
  <Lines>53</Lines>
  <Paragraphs>14</Paragraphs>
  <ScaleCrop>false</ScaleCrop>
  <Company/>
  <LinksUpToDate>false</LinksUpToDate>
  <CharactersWithSpaces>7500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Алла</cp:lastModifiedBy>
  <cp:revision>1</cp:revision>
  <dcterms:created xsi:type="dcterms:W3CDTF">2019-12-10T11:57:00Z</dcterms:created>
  <dcterms:modified xsi:type="dcterms:W3CDTF">2019-12-10T12:00:00Z</dcterms:modified>
</cp:coreProperties>
</file>