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9E" w:rsidRPr="0074029E" w:rsidRDefault="0074029E" w:rsidP="0074029E">
      <w:pPr>
        <w:jc w:val="right"/>
        <w:rPr>
          <w:lang w:val="uk-UA"/>
        </w:rPr>
      </w:pPr>
      <w:r w:rsidRPr="0074029E">
        <w:rPr>
          <w:lang w:val="uk-UA"/>
        </w:rPr>
        <w:t xml:space="preserve">Додаток </w:t>
      </w:r>
    </w:p>
    <w:p w:rsidR="0074029E" w:rsidRPr="0074029E" w:rsidRDefault="0074029E" w:rsidP="0074029E">
      <w:pPr>
        <w:jc w:val="right"/>
        <w:rPr>
          <w:lang w:val="uk-UA"/>
        </w:rPr>
      </w:pPr>
      <w:r w:rsidRPr="0074029E">
        <w:rPr>
          <w:lang w:val="uk-UA"/>
        </w:rPr>
        <w:t>до рішення виконавчого комітету</w:t>
      </w:r>
    </w:p>
    <w:p w:rsidR="0074029E" w:rsidRPr="0074029E" w:rsidRDefault="0074029E" w:rsidP="0074029E">
      <w:pPr>
        <w:jc w:val="right"/>
        <w:rPr>
          <w:lang w:val="uk-UA"/>
        </w:rPr>
      </w:pPr>
      <w:r w:rsidRPr="0074029E">
        <w:rPr>
          <w:lang w:val="uk-UA"/>
        </w:rPr>
        <w:t xml:space="preserve">від 30 січня  2020 року № 7 </w:t>
      </w:r>
    </w:p>
    <w:p w:rsidR="0074029E" w:rsidRPr="0074029E" w:rsidRDefault="0074029E" w:rsidP="0074029E">
      <w:pPr>
        <w:jc w:val="right"/>
        <w:rPr>
          <w:sz w:val="28"/>
          <w:szCs w:val="28"/>
          <w:lang w:val="uk-UA"/>
        </w:rPr>
      </w:pPr>
    </w:p>
    <w:p w:rsidR="0074029E" w:rsidRPr="0074029E" w:rsidRDefault="0074029E" w:rsidP="0074029E">
      <w:pPr>
        <w:jc w:val="center"/>
        <w:rPr>
          <w:b/>
          <w:bCs/>
          <w:sz w:val="28"/>
          <w:szCs w:val="28"/>
          <w:lang w:val="uk-UA"/>
        </w:rPr>
      </w:pPr>
      <w:r w:rsidRPr="0074029E">
        <w:rPr>
          <w:b/>
          <w:bCs/>
          <w:sz w:val="28"/>
          <w:szCs w:val="28"/>
          <w:lang w:val="uk-UA"/>
        </w:rPr>
        <w:t>ЗВІТ</w:t>
      </w:r>
    </w:p>
    <w:p w:rsidR="0074029E" w:rsidRPr="0074029E" w:rsidRDefault="0074029E" w:rsidP="0074029E">
      <w:pPr>
        <w:jc w:val="center"/>
        <w:rPr>
          <w:b/>
          <w:sz w:val="28"/>
          <w:szCs w:val="28"/>
          <w:lang w:val="uk-UA"/>
        </w:rPr>
      </w:pPr>
      <w:r w:rsidRPr="0074029E">
        <w:rPr>
          <w:b/>
          <w:sz w:val="28"/>
          <w:szCs w:val="28"/>
          <w:lang w:val="uk-UA"/>
        </w:rPr>
        <w:t>про виконання Програми соціально-економічного розвитку</w:t>
      </w:r>
    </w:p>
    <w:p w:rsidR="0074029E" w:rsidRPr="0074029E" w:rsidRDefault="0074029E" w:rsidP="0074029E">
      <w:pPr>
        <w:jc w:val="center"/>
        <w:rPr>
          <w:b/>
          <w:sz w:val="28"/>
          <w:szCs w:val="28"/>
          <w:lang w:val="uk-UA"/>
        </w:rPr>
      </w:pPr>
      <w:r w:rsidRPr="0074029E">
        <w:rPr>
          <w:b/>
          <w:sz w:val="28"/>
          <w:szCs w:val="28"/>
          <w:lang w:val="uk-UA"/>
        </w:rPr>
        <w:t xml:space="preserve">за 2019 рік </w:t>
      </w:r>
    </w:p>
    <w:p w:rsidR="0074029E" w:rsidRPr="0074029E" w:rsidRDefault="0074029E" w:rsidP="0074029E">
      <w:pPr>
        <w:ind w:firstLine="680"/>
        <w:jc w:val="both"/>
        <w:rPr>
          <w:b/>
          <w:bCs/>
          <w:i/>
          <w:highlight w:val="yellow"/>
          <w:lang w:val="uk-UA"/>
        </w:rPr>
      </w:pPr>
    </w:p>
    <w:p w:rsidR="0074029E" w:rsidRPr="0074029E" w:rsidRDefault="0074029E" w:rsidP="0074029E">
      <w:pPr>
        <w:pStyle w:val="a5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74029E">
        <w:rPr>
          <w:rFonts w:ascii="Times New Roman" w:hAnsi="Times New Roman"/>
          <w:sz w:val="28"/>
          <w:szCs w:val="28"/>
          <w:lang w:val="uk-UA"/>
        </w:rPr>
        <w:t>Програма соціально-економічного розвитку Великосеверинівської сільської ради Кропивницького району Кіровоградської області на 2019 рік розроблена на підставі Закону України «Про місцеве самоврядування в Україні», Закону України «Про Державний бюджет України на 2019 рік», інших нормативних документів, що не суперечать чинному законодавству України.</w:t>
      </w:r>
    </w:p>
    <w:p w:rsidR="0074029E" w:rsidRPr="0074029E" w:rsidRDefault="0074029E" w:rsidP="0074029E">
      <w:pPr>
        <w:ind w:firstLine="900"/>
        <w:jc w:val="both"/>
        <w:rPr>
          <w:b/>
          <w:sz w:val="28"/>
          <w:szCs w:val="28"/>
          <w:lang w:val="uk-UA"/>
        </w:rPr>
      </w:pPr>
    </w:p>
    <w:p w:rsidR="0074029E" w:rsidRPr="0074029E" w:rsidRDefault="0074029E" w:rsidP="0074029E">
      <w:pPr>
        <w:ind w:firstLine="900"/>
        <w:jc w:val="both"/>
        <w:rPr>
          <w:b/>
          <w:sz w:val="28"/>
          <w:szCs w:val="28"/>
          <w:lang w:val="uk-UA"/>
        </w:rPr>
      </w:pPr>
      <w:r w:rsidRPr="0074029E">
        <w:rPr>
          <w:b/>
          <w:sz w:val="28"/>
          <w:szCs w:val="28"/>
          <w:lang w:val="uk-UA"/>
        </w:rPr>
        <w:t xml:space="preserve">Показники соціально-економічного розвитку </w:t>
      </w:r>
    </w:p>
    <w:p w:rsidR="0074029E" w:rsidRPr="0074029E" w:rsidRDefault="0074029E" w:rsidP="0074029E">
      <w:pPr>
        <w:pStyle w:val="1"/>
        <w:ind w:firstLine="900"/>
        <w:jc w:val="both"/>
        <w:rPr>
          <w:rFonts w:ascii="Times New Roman" w:hAnsi="Times New Roman"/>
          <w:szCs w:val="28"/>
          <w:lang w:val="uk-UA"/>
        </w:rPr>
      </w:pPr>
      <w:r w:rsidRPr="0074029E">
        <w:rPr>
          <w:rFonts w:ascii="Times New Roman" w:hAnsi="Times New Roman"/>
          <w:bCs/>
          <w:szCs w:val="28"/>
          <w:lang w:val="uk-UA"/>
        </w:rPr>
        <w:t xml:space="preserve">Населення Великосеверинівської ОТГ станом на 01.01.2019 становить 3526 </w:t>
      </w:r>
      <w:r w:rsidRPr="0074029E">
        <w:rPr>
          <w:rFonts w:ascii="Times New Roman" w:hAnsi="Times New Roman"/>
          <w:szCs w:val="28"/>
          <w:lang w:val="uk-UA"/>
        </w:rPr>
        <w:t>особи.</w:t>
      </w:r>
    </w:p>
    <w:p w:rsidR="0074029E" w:rsidRPr="0074029E" w:rsidRDefault="0074029E" w:rsidP="0074029E">
      <w:pPr>
        <w:pStyle w:val="20"/>
        <w:shd w:val="clear" w:color="auto" w:fill="auto"/>
        <w:ind w:firstLine="900"/>
        <w:rPr>
          <w:lang w:val="uk-UA"/>
        </w:rPr>
      </w:pPr>
      <w:r w:rsidRPr="0074029E">
        <w:rPr>
          <w:lang w:val="uk-UA"/>
        </w:rPr>
        <w:t xml:space="preserve">Якщо аналізувати кількість населення у розрізі населених пунктів, то: на території </w:t>
      </w:r>
      <w:r w:rsidRPr="0074029E">
        <w:rPr>
          <w:bCs/>
          <w:lang w:val="uk-UA"/>
        </w:rPr>
        <w:t xml:space="preserve">Великосеверинівської ОТГ </w:t>
      </w:r>
      <w:r w:rsidRPr="0074029E">
        <w:rPr>
          <w:lang w:val="uk-UA"/>
        </w:rPr>
        <w:t xml:space="preserve">населення у с. Велика Северинка (центр громади) – 1024 чол., </w:t>
      </w:r>
      <w:proofErr w:type="spellStart"/>
      <w:r w:rsidRPr="0074029E">
        <w:rPr>
          <w:lang w:val="uk-UA"/>
        </w:rPr>
        <w:t>Підгайці</w:t>
      </w:r>
      <w:proofErr w:type="spellEnd"/>
      <w:r w:rsidRPr="0074029E">
        <w:rPr>
          <w:lang w:val="uk-UA"/>
        </w:rPr>
        <w:t xml:space="preserve"> – 1306 чол., </w:t>
      </w:r>
      <w:proofErr w:type="spellStart"/>
      <w:r w:rsidRPr="0074029E">
        <w:rPr>
          <w:lang w:val="uk-UA"/>
        </w:rPr>
        <w:t>Лозуватка</w:t>
      </w:r>
      <w:proofErr w:type="spellEnd"/>
      <w:r w:rsidRPr="0074029E">
        <w:rPr>
          <w:lang w:val="uk-UA"/>
        </w:rPr>
        <w:t xml:space="preserve"> – 168 чол., </w:t>
      </w:r>
      <w:proofErr w:type="spellStart"/>
      <w:r w:rsidRPr="0074029E">
        <w:rPr>
          <w:lang w:val="uk-UA"/>
        </w:rPr>
        <w:t>Кандаурове</w:t>
      </w:r>
      <w:proofErr w:type="spellEnd"/>
      <w:r w:rsidRPr="0074029E">
        <w:rPr>
          <w:lang w:val="uk-UA"/>
        </w:rPr>
        <w:t xml:space="preserve"> – 24 чол., </w:t>
      </w:r>
      <w:proofErr w:type="spellStart"/>
      <w:r w:rsidRPr="0074029E">
        <w:rPr>
          <w:lang w:val="uk-UA"/>
        </w:rPr>
        <w:t>Оситняжка</w:t>
      </w:r>
      <w:proofErr w:type="spellEnd"/>
      <w:r w:rsidRPr="0074029E">
        <w:rPr>
          <w:lang w:val="uk-UA"/>
        </w:rPr>
        <w:t xml:space="preserve"> – 997 чол., Петрове – 7 чол.</w:t>
      </w:r>
    </w:p>
    <w:p w:rsidR="0074029E" w:rsidRPr="0074029E" w:rsidRDefault="0074029E" w:rsidP="0074029E">
      <w:pPr>
        <w:pStyle w:val="20"/>
        <w:shd w:val="clear" w:color="auto" w:fill="auto"/>
        <w:spacing w:after="236"/>
        <w:ind w:firstLine="900"/>
        <w:rPr>
          <w:lang w:val="uk-UA"/>
        </w:rPr>
      </w:pPr>
      <w:r w:rsidRPr="0074029E">
        <w:rPr>
          <w:lang w:val="uk-UA"/>
        </w:rPr>
        <w:t>Динаміка демографічних показників громади за останні 3 роки показує тенденцію до поступового зниження кількості наявного населення за рахунок як природного зменшення, так і міграційних рухів населення.</w:t>
      </w:r>
    </w:p>
    <w:p w:rsidR="0074029E" w:rsidRPr="0074029E" w:rsidRDefault="0074029E" w:rsidP="0074029E">
      <w:pPr>
        <w:ind w:firstLine="900"/>
        <w:jc w:val="both"/>
        <w:rPr>
          <w:sz w:val="28"/>
          <w:szCs w:val="28"/>
          <w:lang w:val="uk-UA"/>
        </w:rPr>
      </w:pPr>
      <w:bookmarkStart w:id="0" w:name="top"/>
      <w:r w:rsidRPr="0074029E">
        <w:rPr>
          <w:sz w:val="28"/>
          <w:szCs w:val="28"/>
          <w:lang w:val="uk-UA"/>
        </w:rPr>
        <w:t>Великосеверинівська сільська об’єднана територіальна громада є достатньо розвинутою сільськогосподарською територією, у якій виробництво сільськогосподарської продукції має тенденцію до постійного росту.</w:t>
      </w:r>
    </w:p>
    <w:p w:rsidR="0074029E" w:rsidRPr="0074029E" w:rsidRDefault="0074029E" w:rsidP="0074029E">
      <w:pPr>
        <w:pStyle w:val="20"/>
        <w:tabs>
          <w:tab w:val="left" w:pos="1306"/>
        </w:tabs>
        <w:spacing w:line="312" w:lineRule="exact"/>
        <w:ind w:firstLine="900"/>
        <w:rPr>
          <w:lang w:val="uk-UA"/>
        </w:rPr>
      </w:pPr>
      <w:r w:rsidRPr="0074029E">
        <w:rPr>
          <w:lang w:val="uk-UA"/>
        </w:rPr>
        <w:t xml:space="preserve">Сільськогосподарськими підприємствами під урожай 2019р. озимі культури на зерно та зелений корм посіяно на площі 15636 га (на 8% більше, ніж під урожай 2018р.), у т.ч. зернові на зерно – на 4638 га (на 12% більше), ріпак на зерно – на 4100 га (в 1,2 </w:t>
      </w:r>
      <w:proofErr w:type="spellStart"/>
      <w:r w:rsidRPr="0074029E">
        <w:rPr>
          <w:lang w:val="uk-UA"/>
        </w:rPr>
        <w:t>раза</w:t>
      </w:r>
      <w:proofErr w:type="spellEnd"/>
      <w:r w:rsidRPr="0074029E">
        <w:rPr>
          <w:lang w:val="uk-UA"/>
        </w:rPr>
        <w:t xml:space="preserve"> більше). </w:t>
      </w:r>
    </w:p>
    <w:bookmarkEnd w:id="0"/>
    <w:p w:rsidR="0074029E" w:rsidRPr="0074029E" w:rsidRDefault="0074029E" w:rsidP="0074029E">
      <w:pPr>
        <w:pStyle w:val="a4"/>
        <w:shd w:val="clear" w:color="auto" w:fill="FFFFFF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</w:p>
    <w:p w:rsidR="0074029E" w:rsidRPr="0074029E" w:rsidRDefault="0074029E" w:rsidP="0074029E">
      <w:pPr>
        <w:pStyle w:val="a4"/>
        <w:shd w:val="clear" w:color="auto" w:fill="FFFFFF"/>
        <w:spacing w:before="0" w:beforeAutospacing="0" w:after="0" w:afterAutospacing="0"/>
        <w:ind w:firstLine="900"/>
        <w:jc w:val="both"/>
        <w:rPr>
          <w:b/>
          <w:sz w:val="28"/>
          <w:szCs w:val="28"/>
        </w:rPr>
      </w:pPr>
      <w:r w:rsidRPr="0074029E">
        <w:rPr>
          <w:b/>
          <w:sz w:val="28"/>
          <w:szCs w:val="28"/>
        </w:rPr>
        <w:t>Доходи бюджету</w:t>
      </w:r>
    </w:p>
    <w:p w:rsidR="0074029E" w:rsidRPr="0074029E" w:rsidRDefault="0074029E" w:rsidP="0074029E">
      <w:pPr>
        <w:ind w:firstLine="900"/>
        <w:jc w:val="both"/>
        <w:rPr>
          <w:sz w:val="28"/>
          <w:szCs w:val="28"/>
          <w:lang w:val="uk-UA"/>
        </w:rPr>
      </w:pPr>
      <w:r w:rsidRPr="0074029E">
        <w:rPr>
          <w:bCs/>
          <w:color w:val="000000"/>
          <w:sz w:val="28"/>
          <w:szCs w:val="28"/>
          <w:lang w:val="uk-UA"/>
        </w:rPr>
        <w:t xml:space="preserve">Протягом звітного року до сільського бюджету надійшло (без урахуванням трансфертів)- </w:t>
      </w:r>
      <w:r w:rsidRPr="0074029E">
        <w:rPr>
          <w:sz w:val="28"/>
          <w:szCs w:val="28"/>
          <w:lang w:val="uk-UA"/>
        </w:rPr>
        <w:t xml:space="preserve">21 472 608,04 грн. </w:t>
      </w:r>
    </w:p>
    <w:p w:rsidR="0074029E" w:rsidRPr="0074029E" w:rsidRDefault="0074029E" w:rsidP="0074029E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tbl>
      <w:tblPr>
        <w:tblW w:w="9545" w:type="dxa"/>
        <w:tblInd w:w="103" w:type="dxa"/>
        <w:tblLook w:val="0000"/>
      </w:tblPr>
      <w:tblGrid>
        <w:gridCol w:w="6715"/>
        <w:gridCol w:w="2830"/>
      </w:tblGrid>
      <w:tr w:rsidR="0074029E" w:rsidRPr="0074029E" w:rsidTr="00B35AF7">
        <w:trPr>
          <w:trHeight w:val="34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Податок з доходів фізичних осіб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11 154 384,87</w:t>
            </w:r>
          </w:p>
        </w:tc>
      </w:tr>
      <w:tr w:rsidR="0074029E" w:rsidRPr="0074029E" w:rsidTr="00B35AF7">
        <w:trPr>
          <w:trHeight w:val="353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Податок на прибуток підприємств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624,00</w:t>
            </w:r>
          </w:p>
        </w:tc>
      </w:tr>
      <w:tr w:rsidR="0074029E" w:rsidRPr="0074029E" w:rsidTr="00B35AF7">
        <w:trPr>
          <w:trHeight w:val="28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Рентна плата за користування іншими природними ресурсами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18 782,65</w:t>
            </w:r>
          </w:p>
        </w:tc>
      </w:tr>
      <w:tr w:rsidR="0074029E" w:rsidRPr="0074029E" w:rsidTr="00B35AF7">
        <w:trPr>
          <w:trHeight w:val="351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Внутрішні податки на товари та послуги (Акцизний податок)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3 035 743,74</w:t>
            </w:r>
          </w:p>
        </w:tc>
      </w:tr>
      <w:tr w:rsidR="0074029E" w:rsidRPr="0074029E" w:rsidTr="00B35AF7">
        <w:trPr>
          <w:trHeight w:val="307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Податок на нерухоме майно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482 163,75</w:t>
            </w:r>
          </w:p>
        </w:tc>
      </w:tr>
      <w:tr w:rsidR="0074029E" w:rsidRPr="0074029E" w:rsidTr="00B35AF7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Земельний податок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640 357,96</w:t>
            </w:r>
          </w:p>
        </w:tc>
      </w:tr>
      <w:tr w:rsidR="0074029E" w:rsidRPr="0074029E" w:rsidTr="00B35AF7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Орендна плата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1 658 223,62</w:t>
            </w:r>
          </w:p>
        </w:tc>
      </w:tr>
      <w:tr w:rsidR="0074029E" w:rsidRPr="0074029E" w:rsidTr="00B35AF7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Транспортний податок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12 600,00</w:t>
            </w:r>
          </w:p>
        </w:tc>
      </w:tr>
      <w:tr w:rsidR="0074029E" w:rsidRPr="0074029E" w:rsidTr="00B35AF7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Туристичний збір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11 400,00</w:t>
            </w:r>
          </w:p>
        </w:tc>
      </w:tr>
      <w:tr w:rsidR="0074029E" w:rsidRPr="0074029E" w:rsidTr="00B35AF7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Єдиний податок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4 290 782,65</w:t>
            </w:r>
          </w:p>
        </w:tc>
      </w:tr>
      <w:tr w:rsidR="0074029E" w:rsidRPr="0074029E" w:rsidTr="00B35AF7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Неподаткові надходження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167 544,80</w:t>
            </w:r>
          </w:p>
        </w:tc>
      </w:tr>
      <w:tr w:rsidR="0074029E" w:rsidRPr="0074029E" w:rsidTr="00B35AF7">
        <w:trPr>
          <w:trHeight w:val="255"/>
        </w:trPr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Всього доходів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21 472 608,04</w:t>
            </w:r>
          </w:p>
        </w:tc>
      </w:tr>
    </w:tbl>
    <w:p w:rsidR="0074029E" w:rsidRPr="0074029E" w:rsidRDefault="0074029E" w:rsidP="0074029E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55" w:type="dxa"/>
        <w:tblInd w:w="93" w:type="dxa"/>
        <w:tblLook w:val="0000"/>
      </w:tblPr>
      <w:tblGrid>
        <w:gridCol w:w="5595"/>
        <w:gridCol w:w="1620"/>
        <w:gridCol w:w="2340"/>
      </w:tblGrid>
      <w:tr w:rsidR="0074029E" w:rsidRPr="0074029E" w:rsidTr="00B35AF7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b/>
                <w:color w:val="000000"/>
                <w:lang w:val="uk-UA"/>
              </w:rPr>
            </w:pPr>
            <w:r w:rsidRPr="0074029E">
              <w:rPr>
                <w:b/>
                <w:color w:val="000000"/>
                <w:lang w:val="uk-UA"/>
              </w:rPr>
              <w:t>Найбільші платники ПДФО із заробітної плати</w:t>
            </w:r>
          </w:p>
        </w:tc>
      </w:tr>
      <w:tr w:rsidR="0074029E" w:rsidRPr="0074029E" w:rsidTr="00B35AF7">
        <w:trPr>
          <w:trHeight w:val="25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ТОВ "</w:t>
            </w: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Ландтех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30,674%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2 402 308,28</w:t>
            </w:r>
          </w:p>
        </w:tc>
      </w:tr>
      <w:tr w:rsidR="0074029E" w:rsidRPr="0074029E" w:rsidTr="00B35A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ТОВ АК ФАВОРИТ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15,302%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1 198 377,57</w:t>
            </w:r>
          </w:p>
        </w:tc>
      </w:tr>
      <w:tr w:rsidR="0074029E" w:rsidRPr="0074029E" w:rsidTr="00B35A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ВОМСКТ Великосеверинівська сільська рада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13,242%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1 037 045,93</w:t>
            </w:r>
          </w:p>
        </w:tc>
      </w:tr>
      <w:tr w:rsidR="0074029E" w:rsidRPr="0074029E" w:rsidTr="00B35A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Кропивницьке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 МУВГ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9,641%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755 034,10</w:t>
            </w:r>
          </w:p>
        </w:tc>
      </w:tr>
      <w:tr w:rsidR="0074029E" w:rsidRPr="0074029E" w:rsidTr="00B35A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Великосеверинівська сільська рада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7,225%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565 810,60</w:t>
            </w:r>
          </w:p>
        </w:tc>
      </w:tr>
      <w:tr w:rsidR="0074029E" w:rsidRPr="0074029E" w:rsidTr="00B35A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СТОВ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ім.Фрунзе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3,968%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310 722,45</w:t>
            </w:r>
          </w:p>
        </w:tc>
      </w:tr>
      <w:tr w:rsidR="0074029E" w:rsidRPr="0074029E" w:rsidTr="00B35A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ПРАТ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 "СГ Надія Нова"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3,510%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274 916,42</w:t>
            </w:r>
          </w:p>
        </w:tc>
      </w:tr>
      <w:tr w:rsidR="0074029E" w:rsidRPr="0074029E" w:rsidTr="00B35AF7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ПП "АМІК Україна"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1,604%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125 593,28</w:t>
            </w:r>
          </w:p>
        </w:tc>
      </w:tr>
    </w:tbl>
    <w:p w:rsidR="0074029E" w:rsidRPr="0074029E" w:rsidRDefault="0074029E" w:rsidP="0074029E">
      <w:pPr>
        <w:ind w:firstLine="567"/>
        <w:jc w:val="both"/>
        <w:rPr>
          <w:sz w:val="28"/>
          <w:szCs w:val="28"/>
          <w:lang w:val="uk-UA"/>
        </w:rPr>
      </w:pPr>
    </w:p>
    <w:p w:rsidR="0074029E" w:rsidRPr="0074029E" w:rsidRDefault="0074029E" w:rsidP="0074029E">
      <w:pPr>
        <w:ind w:firstLine="709"/>
        <w:jc w:val="both"/>
        <w:rPr>
          <w:bCs/>
          <w:sz w:val="28"/>
          <w:szCs w:val="28"/>
          <w:lang w:val="uk-UA"/>
        </w:rPr>
      </w:pPr>
    </w:p>
    <w:tbl>
      <w:tblPr>
        <w:tblW w:w="9555" w:type="dxa"/>
        <w:tblInd w:w="93" w:type="dxa"/>
        <w:tblLook w:val="0000"/>
      </w:tblPr>
      <w:tblGrid>
        <w:gridCol w:w="5415"/>
        <w:gridCol w:w="1980"/>
        <w:gridCol w:w="2160"/>
      </w:tblGrid>
      <w:tr w:rsidR="0074029E" w:rsidRPr="0074029E" w:rsidTr="00B35AF7">
        <w:trPr>
          <w:trHeight w:val="30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color w:val="000000"/>
                <w:lang w:val="uk-UA"/>
              </w:rPr>
              <w:t>Найбільші платники єдиного податку з сільськогосподарських товаровиробників</w:t>
            </w:r>
          </w:p>
        </w:tc>
      </w:tr>
      <w:tr w:rsidR="0074029E" w:rsidRPr="0074029E" w:rsidTr="00B35AF7">
        <w:trPr>
          <w:trHeight w:val="255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СТОВ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 "Фрунзе"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28,12%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735680,7</w:t>
            </w:r>
          </w:p>
        </w:tc>
      </w:tr>
      <w:tr w:rsidR="0074029E" w:rsidRPr="0074029E" w:rsidTr="00B35AF7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ПРАТ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 "СГ Надія НОВА"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17,48%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457401,3</w:t>
            </w:r>
          </w:p>
        </w:tc>
      </w:tr>
      <w:tr w:rsidR="0074029E" w:rsidRPr="0074029E" w:rsidTr="00B35AF7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СФГ Мельниченка В.О.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10,61%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277677,9</w:t>
            </w:r>
          </w:p>
        </w:tc>
      </w:tr>
      <w:tr w:rsidR="0074029E" w:rsidRPr="0074029E" w:rsidTr="00B35AF7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ФГ </w:t>
            </w: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Шаповалова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 Олександра Григоровича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7,66%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200373,4</w:t>
            </w:r>
          </w:p>
        </w:tc>
      </w:tr>
      <w:tr w:rsidR="0074029E" w:rsidRPr="0074029E" w:rsidTr="00B35AF7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ФГ "Вікторія"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6,76%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176980,4</w:t>
            </w:r>
          </w:p>
        </w:tc>
      </w:tr>
    </w:tbl>
    <w:p w:rsidR="0074029E" w:rsidRPr="0074029E" w:rsidRDefault="0074029E" w:rsidP="0074029E">
      <w:pPr>
        <w:ind w:firstLine="709"/>
        <w:jc w:val="both"/>
        <w:rPr>
          <w:bCs/>
          <w:sz w:val="28"/>
          <w:szCs w:val="28"/>
          <w:lang w:val="uk-UA"/>
        </w:rPr>
      </w:pPr>
    </w:p>
    <w:p w:rsidR="0074029E" w:rsidRPr="0074029E" w:rsidRDefault="0074029E" w:rsidP="0074029E">
      <w:pPr>
        <w:ind w:firstLine="709"/>
        <w:jc w:val="both"/>
        <w:rPr>
          <w:bCs/>
          <w:sz w:val="28"/>
          <w:szCs w:val="28"/>
          <w:lang w:val="uk-UA"/>
        </w:rPr>
      </w:pPr>
    </w:p>
    <w:p w:rsidR="0074029E" w:rsidRPr="0074029E" w:rsidRDefault="0074029E" w:rsidP="0074029E">
      <w:pPr>
        <w:ind w:firstLine="709"/>
        <w:jc w:val="both"/>
        <w:rPr>
          <w:bCs/>
          <w:sz w:val="28"/>
          <w:szCs w:val="28"/>
          <w:lang w:val="uk-UA"/>
        </w:rPr>
      </w:pPr>
    </w:p>
    <w:p w:rsidR="0074029E" w:rsidRPr="0074029E" w:rsidRDefault="0074029E" w:rsidP="0074029E">
      <w:pPr>
        <w:jc w:val="both"/>
        <w:rPr>
          <w:sz w:val="28"/>
          <w:szCs w:val="28"/>
          <w:lang w:val="uk-UA"/>
        </w:rPr>
      </w:pPr>
      <w:r w:rsidRPr="0074029E">
        <w:rPr>
          <w:noProof/>
          <w:sz w:val="28"/>
          <w:szCs w:val="28"/>
          <w:lang w:val="uk-UA"/>
        </w:rPr>
        <w:drawing>
          <wp:inline distT="0" distB="0" distL="0" distR="0">
            <wp:extent cx="6172200" cy="411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9E" w:rsidRPr="0074029E" w:rsidRDefault="0074029E" w:rsidP="0074029E">
      <w:pPr>
        <w:ind w:firstLine="709"/>
        <w:jc w:val="both"/>
        <w:rPr>
          <w:bCs/>
          <w:sz w:val="28"/>
          <w:szCs w:val="28"/>
          <w:lang w:val="uk-UA"/>
        </w:rPr>
      </w:pPr>
    </w:p>
    <w:p w:rsidR="0074029E" w:rsidRPr="0074029E" w:rsidRDefault="0074029E" w:rsidP="0074029E">
      <w:pPr>
        <w:ind w:firstLine="900"/>
        <w:jc w:val="both"/>
        <w:rPr>
          <w:bCs/>
          <w:sz w:val="28"/>
          <w:szCs w:val="28"/>
          <w:lang w:val="uk-UA"/>
        </w:rPr>
      </w:pPr>
      <w:r w:rsidRPr="0074029E">
        <w:rPr>
          <w:bCs/>
          <w:sz w:val="28"/>
          <w:szCs w:val="28"/>
          <w:lang w:val="uk-UA"/>
        </w:rPr>
        <w:t>Повністю профінансовано видатки по заробітній платі, нарахування на заробітну плату, за спожиті енергоносії, продукти харчування та інші захищені статті.</w:t>
      </w:r>
    </w:p>
    <w:p w:rsidR="0074029E" w:rsidRPr="0074029E" w:rsidRDefault="0074029E" w:rsidP="0074029E">
      <w:pPr>
        <w:ind w:firstLine="900"/>
        <w:jc w:val="both"/>
        <w:rPr>
          <w:bCs/>
          <w:color w:val="000000"/>
          <w:sz w:val="28"/>
          <w:szCs w:val="28"/>
          <w:lang w:val="uk-UA"/>
        </w:rPr>
      </w:pPr>
      <w:r w:rsidRPr="0074029E">
        <w:rPr>
          <w:bCs/>
          <w:color w:val="000000"/>
          <w:sz w:val="28"/>
          <w:szCs w:val="28"/>
          <w:lang w:val="uk-UA"/>
        </w:rPr>
        <w:lastRenderedPageBreak/>
        <w:t>Офіційні трансферти з державного бюджету профінансовано на 99,4% або одержані в сумі 13 361 832,94 грн. при плані 13 442 627,00 грн., недоодержано – 80 794,06 грн.</w:t>
      </w: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highlight w:val="yellow"/>
          <w:lang w:val="uk-UA"/>
        </w:rPr>
      </w:pPr>
    </w:p>
    <w:p w:rsidR="0074029E" w:rsidRPr="0074029E" w:rsidRDefault="0074029E" w:rsidP="0074029E">
      <w:pPr>
        <w:jc w:val="center"/>
        <w:rPr>
          <w:bCs/>
          <w:color w:val="000000"/>
          <w:sz w:val="28"/>
          <w:szCs w:val="28"/>
          <w:lang w:val="uk-UA"/>
        </w:rPr>
      </w:pPr>
      <w:r w:rsidRPr="0074029E">
        <w:rPr>
          <w:bCs/>
          <w:color w:val="000000"/>
          <w:sz w:val="28"/>
          <w:szCs w:val="28"/>
          <w:lang w:val="uk-UA"/>
        </w:rPr>
        <w:t>Офіційні трансферти з державного бюджету</w:t>
      </w:r>
    </w:p>
    <w:tbl>
      <w:tblPr>
        <w:tblW w:w="9716" w:type="dxa"/>
        <w:tblInd w:w="-252" w:type="dxa"/>
        <w:tblLook w:val="0000"/>
      </w:tblPr>
      <w:tblGrid>
        <w:gridCol w:w="5760"/>
        <w:gridCol w:w="1744"/>
        <w:gridCol w:w="1384"/>
        <w:gridCol w:w="828"/>
      </w:tblGrid>
      <w:tr w:rsidR="0074029E" w:rsidRPr="0074029E" w:rsidTr="00B35AF7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4029E">
              <w:rPr>
                <w:b/>
                <w:sz w:val="22"/>
                <w:szCs w:val="22"/>
                <w:lang w:val="uk-UA"/>
              </w:rPr>
              <w:t>Назва доходів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Уточнений план за період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Факт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 xml:space="preserve">% </w:t>
            </w:r>
            <w:proofErr w:type="spellStart"/>
            <w:r w:rsidRPr="0074029E">
              <w:rPr>
                <w:bCs/>
                <w:sz w:val="22"/>
                <w:szCs w:val="22"/>
                <w:lang w:val="uk-UA"/>
              </w:rPr>
              <w:t>викон</w:t>
            </w:r>
            <w:proofErr w:type="spellEnd"/>
            <w:r w:rsidRPr="0074029E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74029E" w:rsidRPr="0074029E" w:rsidTr="00B35AF7">
        <w:trPr>
          <w:trHeight w:val="70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Від органів державного управління 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13442627,00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13361832,94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99,40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Базова дотація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1360300,00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1360300,00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Субвенції з державного бюджету місцевим бюджетам, в т.ч.: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10582900,00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10523980,50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99,44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sz w:val="20"/>
                <w:szCs w:val="20"/>
                <w:lang w:val="uk-UA"/>
              </w:rPr>
            </w:pPr>
            <w:r w:rsidRPr="0074029E">
              <w:rPr>
                <w:sz w:val="20"/>
                <w:szCs w:val="20"/>
                <w:lang w:val="uk-UA"/>
              </w:rPr>
              <w:t xml:space="preserve">1. </w:t>
            </w:r>
            <w:r w:rsidRPr="0074029E">
              <w:rPr>
                <w:rFonts w:ascii="Arial" w:hAnsi="Arial"/>
                <w:sz w:val="20"/>
                <w:szCs w:val="20"/>
                <w:lang w:val="uk-UA"/>
              </w:rPr>
              <w:t>Субвенція з державного бюджету місцевим бюджетам на формування інфраструктури об`єднаних територіальних громад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1627000,00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1568080,50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96,38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sz w:val="20"/>
                <w:szCs w:val="20"/>
                <w:lang w:val="uk-UA"/>
              </w:rPr>
              <w:t xml:space="preserve">2. </w:t>
            </w:r>
            <w:r w:rsidRPr="0074029E">
              <w:rPr>
                <w:rFonts w:ascii="Arial" w:hAnsi="Arial"/>
                <w:sz w:val="20"/>
                <w:szCs w:val="20"/>
                <w:lang w:val="uk-UA"/>
              </w:rPr>
              <w:t>Освітня субвенція з державного бюджету місцевим бюджетам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6570000,00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6570000,00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sz w:val="20"/>
                <w:szCs w:val="20"/>
                <w:lang w:val="uk-UA"/>
              </w:rPr>
              <w:t xml:space="preserve">3. </w:t>
            </w:r>
            <w:r w:rsidRPr="0074029E">
              <w:rPr>
                <w:rFonts w:ascii="Arial" w:hAnsi="Arial"/>
                <w:sz w:val="20"/>
                <w:szCs w:val="20"/>
                <w:lang w:val="uk-UA"/>
              </w:rPr>
              <w:t>Медична субвенція з державного бюджету місцевим бюджетам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2385900,00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2385900,00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1158300,00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1158300,00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Субвенції з місцевих бюджетів іншим місцевим бюджетам, в т.ч.: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341127,00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319252,44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93,59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sz w:val="20"/>
                <w:szCs w:val="20"/>
                <w:lang w:val="uk-UA"/>
              </w:rPr>
              <w:t xml:space="preserve">1. </w:t>
            </w:r>
            <w:r w:rsidRPr="0074029E">
              <w:rPr>
                <w:rFonts w:ascii="Arial" w:hAnsi="Arial"/>
                <w:sz w:val="20"/>
                <w:szCs w:val="20"/>
                <w:lang w:val="uk-UA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66484,00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66484,00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sz w:val="20"/>
                <w:szCs w:val="20"/>
                <w:lang w:val="uk-UA"/>
              </w:rPr>
              <w:t xml:space="preserve">2. </w:t>
            </w:r>
            <w:r w:rsidRPr="0074029E">
              <w:rPr>
                <w:rFonts w:ascii="Arial" w:hAnsi="Arial"/>
                <w:sz w:val="20"/>
                <w:szCs w:val="20"/>
                <w:lang w:val="uk-UA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108967,00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89955,66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82,55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sz w:val="20"/>
                <w:szCs w:val="20"/>
                <w:lang w:val="uk-UA"/>
              </w:rPr>
              <w:t xml:space="preserve">3. </w:t>
            </w:r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Субвенція з місцевого бюджету на забезпечення якісної, сучасної та доступної загальної середньої освіти `Нова українська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школа`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за рахунок відповідної субвенції з державного бюджету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74426,00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71562,78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96,15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sz w:val="20"/>
                <w:szCs w:val="20"/>
                <w:lang w:val="uk-UA"/>
              </w:rPr>
              <w:t xml:space="preserve">4. </w:t>
            </w:r>
            <w:r w:rsidRPr="0074029E">
              <w:rPr>
                <w:rFonts w:ascii="Arial" w:hAnsi="Arial"/>
                <w:sz w:val="20"/>
                <w:szCs w:val="20"/>
                <w:lang w:val="uk-UA"/>
              </w:rPr>
      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91250,00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91250,00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100,00</w:t>
            </w: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25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sz w:val="20"/>
                <w:szCs w:val="20"/>
                <w:lang w:val="uk-UA"/>
              </w:rPr>
              <w:t xml:space="preserve">ВСЬОГО </w:t>
            </w:r>
            <w:r w:rsidRPr="0074029E">
              <w:rPr>
                <w:rFonts w:ascii="Arial" w:hAnsi="Arial"/>
                <w:sz w:val="20"/>
                <w:szCs w:val="20"/>
                <w:lang w:val="uk-UA"/>
              </w:rPr>
              <w:t>Офіційні трансферти 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13442627,00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13361832,94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99,40</w:t>
            </w:r>
          </w:p>
        </w:tc>
      </w:tr>
    </w:tbl>
    <w:p w:rsidR="0074029E" w:rsidRPr="0074029E" w:rsidRDefault="0074029E" w:rsidP="0074029E">
      <w:pPr>
        <w:ind w:firstLine="840"/>
        <w:jc w:val="both"/>
        <w:rPr>
          <w:bCs/>
          <w:color w:val="000000"/>
          <w:sz w:val="28"/>
          <w:szCs w:val="28"/>
          <w:lang w:val="uk-UA"/>
        </w:rPr>
      </w:pP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lang w:val="uk-UA"/>
        </w:rPr>
      </w:pPr>
      <w:r w:rsidRPr="0074029E">
        <w:rPr>
          <w:bCs/>
          <w:sz w:val="28"/>
          <w:szCs w:val="28"/>
          <w:lang w:val="uk-UA"/>
        </w:rPr>
        <w:t>Із сільського бюджету фінансується апарат сільської ради, апарат відділу освіти, школи – 2, дитячі дошкільні заклади – 2, позашкільні заклади освіти – 1, бібліотеки – 4, заклади культури – 4, фінансуються сільські програми та заходи, благоустрій населених пунктів.</w:t>
      </w: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highlight w:val="yellow"/>
          <w:lang w:val="uk-UA"/>
        </w:rPr>
      </w:pPr>
      <w:r w:rsidRPr="0074029E">
        <w:rPr>
          <w:bCs/>
          <w:sz w:val="28"/>
          <w:szCs w:val="28"/>
          <w:lang w:val="uk-UA"/>
        </w:rPr>
        <w:t>Повністю профінансовано видатки по заробітній платі, нарахування на заробітну плату, за спожиті енергоносії, продукти харчування та інші захищені статті.</w:t>
      </w:r>
    </w:p>
    <w:p w:rsidR="0074029E" w:rsidRPr="0074029E" w:rsidRDefault="0074029E" w:rsidP="0074029E">
      <w:pPr>
        <w:ind w:firstLine="840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74029E">
        <w:rPr>
          <w:b/>
          <w:bCs/>
          <w:i/>
          <w:color w:val="000000"/>
          <w:sz w:val="28"/>
          <w:szCs w:val="28"/>
          <w:lang w:val="uk-UA"/>
        </w:rPr>
        <w:t>Заходи, вжиті щодо наповнення дохідної частини сільського бюджету:</w:t>
      </w:r>
    </w:p>
    <w:p w:rsidR="0074029E" w:rsidRPr="0074029E" w:rsidRDefault="0074029E" w:rsidP="0074029E">
      <w:pPr>
        <w:pStyle w:val="1"/>
        <w:ind w:firstLine="708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029E">
        <w:rPr>
          <w:rFonts w:ascii="Times New Roman" w:hAnsi="Times New Roman"/>
          <w:color w:val="000000"/>
          <w:szCs w:val="28"/>
          <w:lang w:val="uk-UA"/>
        </w:rPr>
        <w:t>Сільською радою разом з депутатами проводиться постійна робота по створенню на території сільської ради  сприятливого клімату для розвитку бізнесу, розширення виробництв, а відповідно створення нових робочих місць. Керівників підприємств не допускають заборгованості із виплати заробітної плати та недоїмки по податках та платежах до бюджетів усіх рівнів.</w:t>
      </w:r>
    </w:p>
    <w:p w:rsidR="0074029E" w:rsidRPr="0074029E" w:rsidRDefault="0074029E" w:rsidP="0074029E">
      <w:pPr>
        <w:pStyle w:val="1"/>
        <w:tabs>
          <w:tab w:val="left" w:pos="960"/>
        </w:tabs>
        <w:ind w:firstLine="708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74029E">
        <w:rPr>
          <w:rFonts w:ascii="Times New Roman" w:hAnsi="Times New Roman"/>
          <w:color w:val="000000"/>
          <w:szCs w:val="28"/>
          <w:lang w:val="uk-UA"/>
        </w:rPr>
        <w:t xml:space="preserve">Сільською радою проводиться робота, мета якої полягає в розробці та впровадженні заходів, які спрямовуються для виявлення фактів приховування </w:t>
      </w:r>
      <w:r w:rsidRPr="0074029E">
        <w:rPr>
          <w:rFonts w:ascii="Times New Roman" w:hAnsi="Times New Roman"/>
          <w:color w:val="000000"/>
          <w:szCs w:val="28"/>
          <w:lang w:val="uk-UA"/>
        </w:rPr>
        <w:lastRenderedPageBreak/>
        <w:t xml:space="preserve">доходів від оподаткування та легалізації найманої робочої сили.  </w:t>
      </w:r>
    </w:p>
    <w:p w:rsidR="0074029E" w:rsidRPr="0074029E" w:rsidRDefault="0074029E" w:rsidP="0074029E">
      <w:pPr>
        <w:ind w:firstLine="680"/>
        <w:jc w:val="both"/>
        <w:rPr>
          <w:b/>
          <w:bCs/>
          <w:i/>
          <w:sz w:val="28"/>
          <w:szCs w:val="28"/>
          <w:highlight w:val="yellow"/>
          <w:lang w:val="uk-UA"/>
        </w:rPr>
      </w:pPr>
    </w:p>
    <w:p w:rsidR="0074029E" w:rsidRPr="0074029E" w:rsidRDefault="0074029E" w:rsidP="0074029E">
      <w:pPr>
        <w:ind w:firstLine="680"/>
        <w:jc w:val="both"/>
        <w:rPr>
          <w:b/>
          <w:bCs/>
          <w:sz w:val="28"/>
          <w:szCs w:val="28"/>
          <w:lang w:val="uk-UA"/>
        </w:rPr>
      </w:pPr>
      <w:r w:rsidRPr="0074029E">
        <w:rPr>
          <w:b/>
          <w:bCs/>
          <w:sz w:val="28"/>
          <w:szCs w:val="28"/>
          <w:lang w:val="uk-UA"/>
        </w:rPr>
        <w:t>Видатки бюджету та заборгованість</w:t>
      </w:r>
    </w:p>
    <w:p w:rsidR="0074029E" w:rsidRPr="0074029E" w:rsidRDefault="0074029E" w:rsidP="0074029E">
      <w:pPr>
        <w:ind w:firstLine="840"/>
        <w:jc w:val="both"/>
        <w:rPr>
          <w:sz w:val="28"/>
          <w:szCs w:val="28"/>
          <w:lang w:val="uk-UA" w:eastAsia="en-US"/>
        </w:rPr>
      </w:pPr>
      <w:r w:rsidRPr="0074029E">
        <w:rPr>
          <w:bCs/>
          <w:color w:val="000000"/>
          <w:sz w:val="28"/>
          <w:szCs w:val="28"/>
          <w:lang w:val="uk-UA"/>
        </w:rPr>
        <w:t xml:space="preserve">За 2019 рік із сільського бюджету </w:t>
      </w:r>
      <w:r w:rsidRPr="0074029E">
        <w:rPr>
          <w:sz w:val="28"/>
          <w:szCs w:val="28"/>
          <w:lang w:val="uk-UA"/>
        </w:rPr>
        <w:t xml:space="preserve">Великосеверинівської ОТГ </w:t>
      </w:r>
      <w:r w:rsidRPr="0074029E">
        <w:rPr>
          <w:bCs/>
          <w:color w:val="000000"/>
          <w:sz w:val="28"/>
          <w:szCs w:val="28"/>
          <w:lang w:val="uk-UA"/>
        </w:rPr>
        <w:t xml:space="preserve">проведено видатків на загальну суму – </w:t>
      </w:r>
      <w:r w:rsidRPr="0074029E">
        <w:rPr>
          <w:sz w:val="28"/>
          <w:szCs w:val="28"/>
          <w:lang w:val="uk-UA" w:eastAsia="en-US"/>
        </w:rPr>
        <w:t>30</w:t>
      </w:r>
      <w:r w:rsidRPr="0074029E">
        <w:rPr>
          <w:sz w:val="28"/>
          <w:szCs w:val="28"/>
          <w:lang w:val="uk-UA"/>
        </w:rPr>
        <w:t> </w:t>
      </w:r>
      <w:r w:rsidRPr="0074029E">
        <w:rPr>
          <w:sz w:val="28"/>
          <w:szCs w:val="28"/>
          <w:lang w:val="uk-UA" w:eastAsia="en-US"/>
        </w:rPr>
        <w:t>629</w:t>
      </w:r>
      <w:r w:rsidRPr="0074029E">
        <w:rPr>
          <w:sz w:val="28"/>
          <w:szCs w:val="28"/>
          <w:lang w:val="uk-UA"/>
        </w:rPr>
        <w:t> </w:t>
      </w:r>
      <w:r w:rsidRPr="0074029E">
        <w:rPr>
          <w:sz w:val="28"/>
          <w:szCs w:val="28"/>
          <w:lang w:val="uk-UA" w:eastAsia="en-US"/>
        </w:rPr>
        <w:t>802</w:t>
      </w:r>
      <w:r w:rsidRPr="0074029E">
        <w:rPr>
          <w:sz w:val="28"/>
          <w:szCs w:val="28"/>
          <w:lang w:val="uk-UA"/>
        </w:rPr>
        <w:t>,</w:t>
      </w:r>
      <w:r w:rsidRPr="0074029E">
        <w:rPr>
          <w:sz w:val="28"/>
          <w:szCs w:val="28"/>
          <w:lang w:val="uk-UA" w:eastAsia="en-US"/>
        </w:rPr>
        <w:t>95</w:t>
      </w:r>
      <w:r w:rsidRPr="0074029E">
        <w:rPr>
          <w:sz w:val="28"/>
          <w:szCs w:val="28"/>
          <w:lang w:val="uk-UA"/>
        </w:rPr>
        <w:t xml:space="preserve">грн. при затвердженому плані на рік з урахуванням змін </w:t>
      </w:r>
      <w:r w:rsidRPr="0074029E">
        <w:rPr>
          <w:sz w:val="28"/>
          <w:szCs w:val="28"/>
          <w:lang w:val="uk-UA" w:eastAsia="en-US"/>
        </w:rPr>
        <w:t>32 513 529,96 грн., що становить 94,21% виконання.</w:t>
      </w:r>
    </w:p>
    <w:p w:rsidR="0074029E" w:rsidRPr="0074029E" w:rsidRDefault="0074029E" w:rsidP="0074029E">
      <w:pPr>
        <w:ind w:firstLine="840"/>
        <w:jc w:val="both"/>
        <w:rPr>
          <w:sz w:val="28"/>
          <w:szCs w:val="28"/>
          <w:lang w:val="uk-UA"/>
        </w:rPr>
      </w:pPr>
    </w:p>
    <w:tbl>
      <w:tblPr>
        <w:tblW w:w="10387" w:type="dxa"/>
        <w:tblInd w:w="-734" w:type="dxa"/>
        <w:tblLook w:val="0000"/>
      </w:tblPr>
      <w:tblGrid>
        <w:gridCol w:w="1000"/>
        <w:gridCol w:w="5020"/>
        <w:gridCol w:w="1660"/>
        <w:gridCol w:w="1500"/>
        <w:gridCol w:w="1207"/>
      </w:tblGrid>
      <w:tr w:rsidR="0074029E" w:rsidRPr="0074029E" w:rsidTr="00B35AF7">
        <w:trPr>
          <w:trHeight w:val="375"/>
        </w:trPr>
        <w:tc>
          <w:tcPr>
            <w:tcW w:w="10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4029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Розподіл видатків загального фонду бюджету </w:t>
            </w:r>
          </w:p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4029E">
              <w:rPr>
                <w:b/>
                <w:bCs/>
                <w:color w:val="000000"/>
                <w:sz w:val="28"/>
                <w:szCs w:val="28"/>
                <w:lang w:val="uk-UA"/>
              </w:rPr>
              <w:t>за 2019 рік</w:t>
            </w:r>
          </w:p>
        </w:tc>
      </w:tr>
      <w:tr w:rsidR="0074029E" w:rsidRPr="0074029E" w:rsidTr="00B35AF7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74029E" w:rsidRPr="0074029E" w:rsidTr="00B35AF7">
        <w:trPr>
          <w:trHeight w:val="10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Код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Кошторисні призначення за даними казначейства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Касові видатки за вказаний період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% виконання</w:t>
            </w:r>
          </w:p>
        </w:tc>
      </w:tr>
      <w:tr w:rsidR="0074029E" w:rsidRPr="0074029E" w:rsidTr="00B35AF7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0110150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8 002 068,00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7 575 787,64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94,67%</w:t>
            </w:r>
          </w:p>
        </w:tc>
      </w:tr>
      <w:tr w:rsidR="0074029E" w:rsidRPr="0074029E" w:rsidTr="00B35AF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0110180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179 999,51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100,00%</w:t>
            </w:r>
          </w:p>
        </w:tc>
      </w:tr>
      <w:tr w:rsidR="0074029E" w:rsidRPr="0074029E" w:rsidTr="00B35AF7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28 690,70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71,73%</w:t>
            </w:r>
          </w:p>
        </w:tc>
      </w:tr>
      <w:tr w:rsidR="0074029E" w:rsidRPr="0074029E" w:rsidTr="00B35AF7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0113242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272 390,00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250 825,00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92,08%</w:t>
            </w:r>
          </w:p>
        </w:tc>
      </w:tr>
      <w:tr w:rsidR="0074029E" w:rsidRPr="0074029E" w:rsidTr="00B35AF7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0114060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Забезпечення діяльності палаців i будинків культури, клубів, центрів дозвілля та інших клубних закладів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47 356,00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47 352,79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99,99%</w:t>
            </w:r>
          </w:p>
        </w:tc>
      </w:tr>
      <w:tr w:rsidR="0074029E" w:rsidRPr="0074029E" w:rsidTr="00B35AF7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1 088 694,20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890 945,69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81,84%</w:t>
            </w:r>
          </w:p>
        </w:tc>
      </w:tr>
      <w:tr w:rsidR="0074029E" w:rsidRPr="0074029E" w:rsidTr="00B35AF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0116040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Заходи, пов`язані з поліпшенням питної води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15 841,00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9 240,27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58,33%</w:t>
            </w:r>
          </w:p>
        </w:tc>
      </w:tr>
      <w:tr w:rsidR="0074029E" w:rsidRPr="0074029E" w:rsidTr="00B35AF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Здійснення заходів із землеустрою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187 500,00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187 500,00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100,00%</w:t>
            </w:r>
          </w:p>
        </w:tc>
      </w:tr>
      <w:tr w:rsidR="0074029E" w:rsidRPr="0074029E" w:rsidTr="00B35AF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0117413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Інші заходи у сфері автотранспорту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261 057,00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190 906,40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73,13%</w:t>
            </w:r>
          </w:p>
        </w:tc>
      </w:tr>
      <w:tr w:rsidR="0074029E" w:rsidRPr="0074029E" w:rsidTr="00B35AF7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0117461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521 080,00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520 577,76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99,90%</w:t>
            </w:r>
          </w:p>
        </w:tc>
      </w:tr>
      <w:tr w:rsidR="0074029E" w:rsidRPr="0074029E" w:rsidTr="00B35AF7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0117680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5 380,00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5 317,00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98,83%</w:t>
            </w:r>
          </w:p>
        </w:tc>
      </w:tr>
      <w:tr w:rsidR="0074029E" w:rsidRPr="0074029E" w:rsidTr="00B35AF7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0118110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336 216,00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335 328,95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99,74%</w:t>
            </w:r>
          </w:p>
        </w:tc>
      </w:tr>
      <w:tr w:rsidR="0074029E" w:rsidRPr="0074029E" w:rsidTr="00B35AF7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347 490,00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347 490,00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100,00%</w:t>
            </w:r>
          </w:p>
        </w:tc>
      </w:tr>
      <w:tr w:rsidR="0074029E" w:rsidRPr="0074029E" w:rsidTr="00B35AF7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0119410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Субвенція з місцевого бюджету на здійснення переданих видатків у сфері охорони здоров`я за рахунок коштів медичної субвенції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2 385 900,00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2 385 900,00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100,00%</w:t>
            </w:r>
          </w:p>
        </w:tc>
      </w:tr>
      <w:tr w:rsidR="0074029E" w:rsidRPr="0074029E" w:rsidTr="00B35AF7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0119760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Субвенція з місцевого бюджету на реалізацію проектів співробітництва між територіальними громадами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574 448,20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574 448,20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100,00%</w:t>
            </w:r>
          </w:p>
        </w:tc>
      </w:tr>
      <w:tr w:rsidR="0074029E" w:rsidRPr="0074029E" w:rsidTr="00B35AF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0119770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Інші субвенції з місцевого бюджету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448 723,87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448 723,87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100,00%</w:t>
            </w:r>
          </w:p>
        </w:tc>
      </w:tr>
      <w:tr w:rsidR="0074029E" w:rsidRPr="0074029E" w:rsidTr="00B35AF7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0119800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145 000,00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145 000,00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100,00%</w:t>
            </w:r>
          </w:p>
        </w:tc>
      </w:tr>
      <w:tr w:rsidR="0074029E" w:rsidRPr="0074029E" w:rsidTr="00B35AF7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0610160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Керівництво і управління у відповідній сфері у містах (місті Києві), селищах, селах, об`єднаних територіальних громадах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955 832,00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945 534,78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98,92%</w:t>
            </w:r>
          </w:p>
        </w:tc>
      </w:tr>
      <w:tr w:rsidR="0074029E" w:rsidRPr="0074029E" w:rsidTr="00B35AF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0610180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19 997,75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99,99%</w:t>
            </w:r>
          </w:p>
        </w:tc>
      </w:tr>
      <w:tr w:rsidR="0074029E" w:rsidRPr="0074029E" w:rsidTr="00B35AF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0611010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Надання дошкільної освіти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3 500 103,00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3 213 176,49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91,80%</w:t>
            </w:r>
          </w:p>
        </w:tc>
      </w:tr>
      <w:tr w:rsidR="0074029E" w:rsidRPr="0074029E" w:rsidTr="00B35AF7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0611020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11 516 610,69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10 774 301,97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93,55%</w:t>
            </w:r>
          </w:p>
        </w:tc>
      </w:tr>
      <w:tr w:rsidR="0074029E" w:rsidRPr="0074029E" w:rsidTr="00B35AF7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0611090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184 412,00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160 503,89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87,04%</w:t>
            </w:r>
          </w:p>
        </w:tc>
      </w:tr>
      <w:tr w:rsidR="0074029E" w:rsidRPr="0074029E" w:rsidTr="00B35AF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0611162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Інші програми та заходи у сфері освіти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187 877,06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99,93%</w:t>
            </w:r>
          </w:p>
        </w:tc>
      </w:tr>
      <w:tr w:rsidR="0074029E" w:rsidRPr="0074029E" w:rsidTr="00B35AF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0614030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Забезпечення діяльності бібліотек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428 296,00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353 742,29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82,59%</w:t>
            </w:r>
          </w:p>
        </w:tc>
      </w:tr>
      <w:tr w:rsidR="0074029E" w:rsidRPr="0074029E" w:rsidTr="00B35AF7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0614060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iнших</w:t>
            </w:r>
            <w:proofErr w:type="spellEnd"/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 xml:space="preserve"> клубних закладів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776 132,00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765 634,94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98,65%</w:t>
            </w:r>
          </w:p>
        </w:tc>
      </w:tr>
      <w:tr w:rsidR="0074029E" w:rsidRPr="0074029E" w:rsidTr="00B35AF7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0615011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85 000,00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100,00%</w:t>
            </w:r>
          </w:p>
        </w:tc>
      </w:tr>
      <w:tr w:rsidR="0074029E" w:rsidRPr="0074029E" w:rsidTr="00B35AF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Всього 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32 513 529,96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30 629 802,95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Cs/>
                <w:color w:val="000000"/>
                <w:sz w:val="22"/>
                <w:szCs w:val="22"/>
                <w:lang w:val="uk-UA"/>
              </w:rPr>
              <w:t>94,21%</w:t>
            </w:r>
          </w:p>
        </w:tc>
      </w:tr>
    </w:tbl>
    <w:p w:rsidR="0074029E" w:rsidRPr="0074029E" w:rsidRDefault="0074029E" w:rsidP="0074029E">
      <w:pPr>
        <w:ind w:firstLine="840"/>
        <w:jc w:val="both"/>
        <w:rPr>
          <w:bCs/>
          <w:color w:val="000000"/>
          <w:sz w:val="28"/>
          <w:szCs w:val="28"/>
          <w:lang w:val="uk-UA"/>
        </w:rPr>
      </w:pPr>
    </w:p>
    <w:p w:rsidR="0074029E" w:rsidRPr="0074029E" w:rsidRDefault="0074029E" w:rsidP="0074029E">
      <w:pPr>
        <w:ind w:firstLine="840"/>
        <w:jc w:val="both"/>
        <w:rPr>
          <w:bCs/>
          <w:color w:val="000000"/>
          <w:sz w:val="28"/>
          <w:szCs w:val="28"/>
          <w:lang w:val="uk-UA"/>
        </w:rPr>
      </w:pPr>
      <w:r w:rsidRPr="0074029E">
        <w:rPr>
          <w:bCs/>
          <w:color w:val="000000"/>
          <w:sz w:val="28"/>
          <w:szCs w:val="28"/>
          <w:lang w:val="uk-UA"/>
        </w:rPr>
        <w:t xml:space="preserve">За 2019 рік забезпечено в повному обсязі фінансування заробітної плати нарахованої за січень-грудень 2019 року із нарахуваннями, на оплату за спожиті енергоносії, продукти харчування та інші захищені статті. </w:t>
      </w:r>
    </w:p>
    <w:p w:rsidR="0074029E" w:rsidRPr="0074029E" w:rsidRDefault="0074029E" w:rsidP="0074029E">
      <w:pPr>
        <w:ind w:firstLine="680"/>
        <w:jc w:val="both"/>
        <w:rPr>
          <w:b/>
          <w:bCs/>
          <w:sz w:val="28"/>
          <w:szCs w:val="28"/>
          <w:lang w:val="uk-UA"/>
        </w:rPr>
      </w:pPr>
    </w:p>
    <w:p w:rsidR="0074029E" w:rsidRPr="0074029E" w:rsidRDefault="0074029E" w:rsidP="0074029E">
      <w:pPr>
        <w:ind w:firstLine="900"/>
        <w:jc w:val="both"/>
        <w:rPr>
          <w:b/>
          <w:bCs/>
          <w:sz w:val="28"/>
          <w:szCs w:val="28"/>
          <w:lang w:val="uk-UA"/>
        </w:rPr>
      </w:pPr>
      <w:r w:rsidRPr="0074029E">
        <w:rPr>
          <w:b/>
          <w:bCs/>
          <w:sz w:val="28"/>
          <w:szCs w:val="28"/>
          <w:lang w:val="uk-UA"/>
        </w:rPr>
        <w:t>Органи управління</w:t>
      </w:r>
    </w:p>
    <w:p w:rsidR="0074029E" w:rsidRPr="0074029E" w:rsidRDefault="0074029E" w:rsidP="0074029E">
      <w:pPr>
        <w:ind w:firstLine="900"/>
        <w:jc w:val="both"/>
        <w:rPr>
          <w:bCs/>
          <w:color w:val="000000"/>
          <w:sz w:val="28"/>
          <w:szCs w:val="28"/>
          <w:lang w:val="uk-UA"/>
        </w:rPr>
      </w:pPr>
      <w:r w:rsidRPr="0074029E">
        <w:rPr>
          <w:bCs/>
          <w:color w:val="000000"/>
          <w:sz w:val="28"/>
          <w:szCs w:val="28"/>
          <w:lang w:val="uk-UA"/>
        </w:rPr>
        <w:t>На фінансування органів управління на 2019 рік затверджено по загальному фонду 8 002 068,00 грн., виконання за поточний рік 7 575 787,64грн. або 94,67% до річних призначень.</w:t>
      </w:r>
    </w:p>
    <w:p w:rsidR="0074029E" w:rsidRPr="0074029E" w:rsidRDefault="0074029E" w:rsidP="0074029E">
      <w:pPr>
        <w:ind w:firstLine="840"/>
        <w:jc w:val="both"/>
        <w:rPr>
          <w:bCs/>
          <w:sz w:val="28"/>
          <w:szCs w:val="28"/>
          <w:lang w:val="uk-UA"/>
        </w:rPr>
      </w:pPr>
      <w:r w:rsidRPr="0074029E">
        <w:rPr>
          <w:bCs/>
          <w:sz w:val="28"/>
          <w:szCs w:val="28"/>
          <w:lang w:val="uk-UA"/>
        </w:rPr>
        <w:t xml:space="preserve">Фактична чисельність працюючих у відділах і управліннях органів місцевого самоврядування станом на 01.01.2019р. </w:t>
      </w:r>
      <w:r w:rsidRPr="0074029E">
        <w:rPr>
          <w:bCs/>
          <w:color w:val="000000"/>
          <w:sz w:val="28"/>
          <w:szCs w:val="28"/>
          <w:lang w:val="uk-UA"/>
        </w:rPr>
        <w:t>становить 30</w:t>
      </w:r>
      <w:r w:rsidRPr="0074029E">
        <w:rPr>
          <w:bCs/>
          <w:color w:val="FF0000"/>
          <w:sz w:val="28"/>
          <w:szCs w:val="28"/>
          <w:lang w:val="uk-UA"/>
        </w:rPr>
        <w:t xml:space="preserve"> </w:t>
      </w:r>
      <w:r w:rsidRPr="0074029E">
        <w:rPr>
          <w:bCs/>
          <w:sz w:val="28"/>
          <w:szCs w:val="28"/>
          <w:lang w:val="uk-UA"/>
        </w:rPr>
        <w:t>одиниць.</w:t>
      </w: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lang w:val="uk-UA"/>
        </w:rPr>
      </w:pPr>
      <w:r w:rsidRPr="0074029E">
        <w:rPr>
          <w:bCs/>
          <w:sz w:val="28"/>
          <w:szCs w:val="28"/>
          <w:lang w:val="uk-UA"/>
        </w:rPr>
        <w:t xml:space="preserve">Витрати на оплату праці становили </w:t>
      </w:r>
      <w:r w:rsidRPr="0074029E">
        <w:rPr>
          <w:bCs/>
          <w:color w:val="000000"/>
          <w:sz w:val="28"/>
          <w:szCs w:val="28"/>
          <w:lang w:val="uk-UA"/>
        </w:rPr>
        <w:t xml:space="preserve">5 431 915,00 </w:t>
      </w:r>
      <w:r w:rsidRPr="0074029E">
        <w:rPr>
          <w:bCs/>
          <w:sz w:val="28"/>
          <w:szCs w:val="28"/>
          <w:lang w:val="uk-UA"/>
        </w:rPr>
        <w:t xml:space="preserve">грн., нарахування на оплату праці </w:t>
      </w:r>
      <w:r w:rsidRPr="0074029E">
        <w:rPr>
          <w:bCs/>
          <w:color w:val="000000"/>
          <w:sz w:val="28"/>
          <w:szCs w:val="28"/>
          <w:lang w:val="uk-UA"/>
        </w:rPr>
        <w:t>- 1 189 827,00.</w:t>
      </w:r>
      <w:r w:rsidRPr="0074029E">
        <w:rPr>
          <w:bCs/>
          <w:sz w:val="28"/>
          <w:szCs w:val="28"/>
          <w:lang w:val="uk-UA"/>
        </w:rPr>
        <w:t xml:space="preserve"> Профінансовано на оплату праці разом з нарахуваннями </w:t>
      </w:r>
      <w:r w:rsidRPr="0074029E">
        <w:rPr>
          <w:bCs/>
          <w:color w:val="000000"/>
          <w:sz w:val="28"/>
          <w:szCs w:val="28"/>
          <w:lang w:val="uk-UA"/>
        </w:rPr>
        <w:t xml:space="preserve">6 337 111,31 </w:t>
      </w:r>
      <w:r w:rsidRPr="0074029E">
        <w:rPr>
          <w:bCs/>
          <w:sz w:val="28"/>
          <w:szCs w:val="28"/>
          <w:lang w:val="uk-UA"/>
        </w:rPr>
        <w:t>грн.</w:t>
      </w: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lang w:val="uk-UA"/>
        </w:rPr>
      </w:pPr>
      <w:r w:rsidRPr="0074029E">
        <w:rPr>
          <w:bCs/>
          <w:sz w:val="28"/>
          <w:szCs w:val="28"/>
          <w:lang w:val="uk-UA"/>
        </w:rPr>
        <w:t>На придбання мат</w:t>
      </w:r>
      <w:r>
        <w:rPr>
          <w:bCs/>
          <w:sz w:val="28"/>
          <w:szCs w:val="28"/>
          <w:lang w:val="uk-UA"/>
        </w:rPr>
        <w:t>еріалів, обладнання та інвентарю</w:t>
      </w:r>
      <w:r w:rsidRPr="0074029E">
        <w:rPr>
          <w:bCs/>
          <w:sz w:val="28"/>
          <w:szCs w:val="28"/>
          <w:lang w:val="uk-UA"/>
        </w:rPr>
        <w:t xml:space="preserve"> використано 276 657,77 грн.</w:t>
      </w: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lang w:val="uk-UA"/>
        </w:rPr>
      </w:pPr>
      <w:r w:rsidRPr="0074029E">
        <w:rPr>
          <w:bCs/>
          <w:sz w:val="28"/>
          <w:szCs w:val="28"/>
          <w:lang w:val="uk-UA"/>
        </w:rPr>
        <w:t>На оплату послуг (крім комунальних) використано 707 205,75</w:t>
      </w:r>
      <w:r w:rsidRPr="0074029E">
        <w:rPr>
          <w:bCs/>
          <w:color w:val="000000"/>
          <w:sz w:val="28"/>
          <w:szCs w:val="28"/>
          <w:lang w:val="uk-UA"/>
        </w:rPr>
        <w:t>грн</w:t>
      </w:r>
      <w:r w:rsidRPr="0074029E">
        <w:rPr>
          <w:bCs/>
          <w:sz w:val="28"/>
          <w:szCs w:val="28"/>
          <w:lang w:val="uk-UA"/>
        </w:rPr>
        <w:t>.</w:t>
      </w: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lang w:val="uk-UA"/>
        </w:rPr>
      </w:pPr>
      <w:r w:rsidRPr="0074029E">
        <w:rPr>
          <w:bCs/>
          <w:sz w:val="28"/>
          <w:szCs w:val="28"/>
          <w:lang w:val="uk-UA"/>
        </w:rPr>
        <w:t>Видатки на відрядження становили на суму 10 095,00 грн.</w:t>
      </w: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lang w:val="uk-UA"/>
        </w:rPr>
      </w:pPr>
      <w:r w:rsidRPr="0074029E">
        <w:rPr>
          <w:bCs/>
          <w:sz w:val="28"/>
          <w:szCs w:val="28"/>
          <w:lang w:val="uk-UA"/>
        </w:rPr>
        <w:t xml:space="preserve">На оплату електроенергії використано  на суму </w:t>
      </w:r>
      <w:r w:rsidRPr="0074029E">
        <w:rPr>
          <w:bCs/>
          <w:color w:val="000000"/>
          <w:sz w:val="28"/>
          <w:szCs w:val="28"/>
          <w:lang w:val="uk-UA"/>
        </w:rPr>
        <w:t xml:space="preserve">138 538,28 </w:t>
      </w:r>
      <w:r w:rsidRPr="0074029E">
        <w:rPr>
          <w:bCs/>
          <w:sz w:val="28"/>
          <w:szCs w:val="28"/>
          <w:lang w:val="uk-UA"/>
        </w:rPr>
        <w:t>грн.</w:t>
      </w: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lang w:val="uk-UA"/>
        </w:rPr>
      </w:pPr>
      <w:r w:rsidRPr="0074029E">
        <w:rPr>
          <w:bCs/>
          <w:sz w:val="28"/>
          <w:szCs w:val="28"/>
          <w:lang w:val="uk-UA"/>
        </w:rPr>
        <w:t xml:space="preserve">Оплата природного газу використано на суму </w:t>
      </w:r>
      <w:r w:rsidRPr="0074029E">
        <w:rPr>
          <w:bCs/>
          <w:color w:val="000000"/>
          <w:sz w:val="28"/>
          <w:szCs w:val="28"/>
          <w:lang w:val="uk-UA"/>
        </w:rPr>
        <w:t>101 930,97</w:t>
      </w:r>
      <w:r w:rsidRPr="0074029E">
        <w:rPr>
          <w:bCs/>
          <w:sz w:val="28"/>
          <w:szCs w:val="28"/>
          <w:lang w:val="uk-UA"/>
        </w:rPr>
        <w:t>грн.</w:t>
      </w: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lang w:val="uk-UA"/>
        </w:rPr>
      </w:pPr>
      <w:r w:rsidRPr="0074029E">
        <w:rPr>
          <w:bCs/>
          <w:sz w:val="28"/>
          <w:szCs w:val="28"/>
          <w:lang w:val="uk-UA"/>
        </w:rPr>
        <w:t xml:space="preserve">Окремі заходи по реалізації державних (регіональних) програм, не віднесені до заходів розвитку профінансовано на суму </w:t>
      </w:r>
      <w:r w:rsidRPr="0074029E">
        <w:rPr>
          <w:bCs/>
          <w:color w:val="000000"/>
          <w:sz w:val="28"/>
          <w:szCs w:val="28"/>
          <w:lang w:val="uk-UA"/>
        </w:rPr>
        <w:t xml:space="preserve">960,00 </w:t>
      </w:r>
      <w:r w:rsidRPr="0074029E">
        <w:rPr>
          <w:bCs/>
          <w:sz w:val="28"/>
          <w:szCs w:val="28"/>
          <w:lang w:val="uk-UA"/>
        </w:rPr>
        <w:t>грн.</w:t>
      </w:r>
    </w:p>
    <w:p w:rsidR="0074029E" w:rsidRPr="0074029E" w:rsidRDefault="0074029E" w:rsidP="0074029E">
      <w:pPr>
        <w:ind w:firstLine="680"/>
        <w:jc w:val="both"/>
        <w:rPr>
          <w:color w:val="000000"/>
          <w:sz w:val="28"/>
          <w:szCs w:val="28"/>
          <w:highlight w:val="yellow"/>
          <w:lang w:val="uk-UA"/>
        </w:rPr>
      </w:pPr>
      <w:r w:rsidRPr="0074029E">
        <w:rPr>
          <w:color w:val="000000"/>
          <w:sz w:val="28"/>
          <w:szCs w:val="28"/>
          <w:lang w:val="uk-UA"/>
        </w:rPr>
        <w:t xml:space="preserve">Інші поточні видатки </w:t>
      </w:r>
      <w:r w:rsidRPr="0074029E">
        <w:rPr>
          <w:bCs/>
          <w:sz w:val="28"/>
          <w:szCs w:val="28"/>
          <w:lang w:val="uk-UA"/>
        </w:rPr>
        <w:t xml:space="preserve">профінансовано на суму </w:t>
      </w:r>
      <w:r w:rsidRPr="0074029E">
        <w:rPr>
          <w:bCs/>
          <w:color w:val="000000"/>
          <w:sz w:val="28"/>
          <w:szCs w:val="28"/>
          <w:lang w:val="uk-UA"/>
        </w:rPr>
        <w:t>3 288,56</w:t>
      </w:r>
      <w:r w:rsidRPr="0074029E">
        <w:rPr>
          <w:bCs/>
          <w:sz w:val="28"/>
          <w:szCs w:val="28"/>
          <w:lang w:val="uk-UA"/>
        </w:rPr>
        <w:t>грн.</w:t>
      </w:r>
    </w:p>
    <w:p w:rsidR="0074029E" w:rsidRPr="0074029E" w:rsidRDefault="0074029E" w:rsidP="0074029E">
      <w:pPr>
        <w:ind w:firstLine="680"/>
        <w:jc w:val="both"/>
        <w:rPr>
          <w:b/>
          <w:bCs/>
          <w:sz w:val="28"/>
          <w:szCs w:val="28"/>
          <w:highlight w:val="yellow"/>
          <w:lang w:val="uk-UA"/>
        </w:rPr>
      </w:pPr>
    </w:p>
    <w:p w:rsidR="0074029E" w:rsidRPr="0074029E" w:rsidRDefault="0074029E" w:rsidP="0074029E">
      <w:pPr>
        <w:ind w:firstLine="840"/>
        <w:jc w:val="both"/>
        <w:rPr>
          <w:b/>
          <w:bCs/>
          <w:color w:val="000000"/>
          <w:sz w:val="28"/>
          <w:szCs w:val="28"/>
          <w:lang w:val="uk-UA"/>
        </w:rPr>
      </w:pPr>
      <w:r w:rsidRPr="0074029E">
        <w:rPr>
          <w:b/>
          <w:bCs/>
          <w:color w:val="000000"/>
          <w:sz w:val="28"/>
          <w:szCs w:val="28"/>
          <w:lang w:val="uk-UA"/>
        </w:rPr>
        <w:t>Соціальний захист та соціальне забезпечення.</w:t>
      </w:r>
    </w:p>
    <w:p w:rsidR="0074029E" w:rsidRPr="0074029E" w:rsidRDefault="0074029E" w:rsidP="0074029E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74029E">
        <w:rPr>
          <w:bCs/>
          <w:color w:val="000000"/>
          <w:sz w:val="28"/>
          <w:szCs w:val="28"/>
          <w:lang w:val="uk-UA"/>
        </w:rPr>
        <w:t>По статті витрат</w:t>
      </w:r>
      <w:r w:rsidRPr="0074029E">
        <w:rPr>
          <w:bCs/>
          <w:i/>
          <w:color w:val="000000"/>
          <w:sz w:val="28"/>
          <w:szCs w:val="28"/>
          <w:lang w:val="uk-UA"/>
        </w:rPr>
        <w:t xml:space="preserve"> «Інші заходи у сфері соціального захисту і соціального забезпечення», </w:t>
      </w:r>
      <w:r w:rsidRPr="0074029E">
        <w:rPr>
          <w:bCs/>
          <w:color w:val="000000"/>
          <w:sz w:val="28"/>
          <w:szCs w:val="28"/>
          <w:lang w:val="uk-UA"/>
        </w:rPr>
        <w:t>проведено видатки в сумі 250 825,00 грн. На придбання засобів реабілітації використано 5990,00 грн., на надання одноразової матеріальної допомоги за програмами «Турбота» та «АТО» - 244 835,00 грн.</w:t>
      </w:r>
    </w:p>
    <w:p w:rsidR="0074029E" w:rsidRPr="0074029E" w:rsidRDefault="0074029E" w:rsidP="0074029E">
      <w:pPr>
        <w:ind w:firstLine="680"/>
        <w:jc w:val="both"/>
        <w:rPr>
          <w:bCs/>
          <w:sz w:val="28"/>
          <w:szCs w:val="28"/>
          <w:highlight w:val="yellow"/>
          <w:lang w:val="uk-UA"/>
        </w:rPr>
      </w:pPr>
    </w:p>
    <w:p w:rsidR="0074029E" w:rsidRPr="0074029E" w:rsidRDefault="0074029E" w:rsidP="0074029E">
      <w:pPr>
        <w:ind w:firstLine="709"/>
        <w:jc w:val="both"/>
        <w:rPr>
          <w:sz w:val="28"/>
          <w:szCs w:val="28"/>
          <w:lang w:val="uk-UA"/>
        </w:rPr>
      </w:pPr>
      <w:r w:rsidRPr="0074029E">
        <w:rPr>
          <w:sz w:val="28"/>
          <w:szCs w:val="28"/>
          <w:lang w:val="uk-UA"/>
        </w:rPr>
        <w:t>За кошти «Субвенція з державного бюджету місцевим бюджетам на формування інфраструктури об'єднаних територіальних громад» на суму 1 568 080,50 грн. у 2019 році було реалізовано 4 проекти:</w:t>
      </w:r>
    </w:p>
    <w:tbl>
      <w:tblPr>
        <w:tblW w:w="9915" w:type="dxa"/>
        <w:tblInd w:w="93" w:type="dxa"/>
        <w:tblLayout w:type="fixed"/>
        <w:tblLook w:val="0000"/>
      </w:tblPr>
      <w:tblGrid>
        <w:gridCol w:w="493"/>
        <w:gridCol w:w="2942"/>
        <w:gridCol w:w="1423"/>
        <w:gridCol w:w="1540"/>
        <w:gridCol w:w="1852"/>
        <w:gridCol w:w="1665"/>
      </w:tblGrid>
      <w:tr w:rsidR="0074029E" w:rsidRPr="0074029E" w:rsidTr="00B35AF7">
        <w:trPr>
          <w:trHeight w:val="22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об'єкта, відповідно до ПКД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Отримано з Державного бюджету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Використано (касові видатки)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Залишок невикористаних коштів (на рахунках місцевих бюджетів, розпорядників бюджетних коштів)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Примітка (причини невикористання бюджетних коштів)</w:t>
            </w:r>
          </w:p>
        </w:tc>
      </w:tr>
      <w:tr w:rsidR="0074029E" w:rsidRPr="0074029E" w:rsidTr="00B35AF7">
        <w:trPr>
          <w:trHeight w:val="197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"Капітальний ремонт будинку культури по вул. Річна, 1 в с. </w:t>
            </w: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Лозуватка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Великосеверинівької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 сільської ради Кіровоградського району Кіровоградської області"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1 239 523,00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1 180 603,50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58 919,50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Залишок виник у зв'язку з тим, що оплата проводилась підряднику по факту виконаних робіт. </w:t>
            </w:r>
          </w:p>
        </w:tc>
      </w:tr>
      <w:tr w:rsidR="0074029E" w:rsidRPr="0074029E" w:rsidTr="00B35AF7">
        <w:trPr>
          <w:trHeight w:val="101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"Генеральний план села Велика Северинка Кропивницького району Кіровоградської області"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167 284,00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167 284,00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107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"Генеральний план села </w:t>
            </w: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Оситняжка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 Кропивницького району Кіровоградської області"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160 420,00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160 420,00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107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Придбання </w:t>
            </w: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Мототрактора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 xml:space="preserve"> Форте МТ-201LT в </w:t>
            </w: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компл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>. (</w:t>
            </w:r>
            <w:proofErr w:type="spellStart"/>
            <w:r w:rsidRPr="0074029E">
              <w:rPr>
                <w:color w:val="000000"/>
                <w:sz w:val="22"/>
                <w:szCs w:val="22"/>
                <w:lang w:val="uk-UA"/>
              </w:rPr>
              <w:t>отвал</w:t>
            </w:r>
            <w:proofErr w:type="spellEnd"/>
            <w:r w:rsidRPr="0074029E">
              <w:rPr>
                <w:color w:val="000000"/>
                <w:sz w:val="22"/>
                <w:szCs w:val="22"/>
                <w:lang w:val="uk-UA"/>
              </w:rPr>
              <w:t>, коса) для ЖКП "Прометей"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59 773,00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59 773,00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2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Усього по ОТГ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1 627 000,00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1 568 080,50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58 919,50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</w:tbl>
    <w:p w:rsidR="0074029E" w:rsidRPr="0074029E" w:rsidRDefault="0074029E" w:rsidP="0074029E">
      <w:pPr>
        <w:ind w:firstLine="709"/>
        <w:jc w:val="both"/>
        <w:rPr>
          <w:bCs/>
          <w:sz w:val="28"/>
          <w:szCs w:val="28"/>
          <w:highlight w:val="yellow"/>
          <w:lang w:val="uk-UA"/>
        </w:rPr>
        <w:sectPr w:rsidR="0074029E" w:rsidRPr="0074029E" w:rsidSect="001C3308">
          <w:pgSz w:w="11906" w:h="16838"/>
          <w:pgMar w:top="719" w:right="566" w:bottom="899" w:left="1701" w:header="709" w:footer="709" w:gutter="0"/>
          <w:cols w:space="708"/>
          <w:docGrid w:linePitch="360"/>
        </w:sectPr>
      </w:pPr>
    </w:p>
    <w:p w:rsidR="0074029E" w:rsidRPr="0074029E" w:rsidRDefault="0074029E" w:rsidP="0074029E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74029E" w:rsidRPr="0074029E" w:rsidRDefault="0074029E" w:rsidP="0074029E">
      <w:pPr>
        <w:ind w:firstLine="709"/>
        <w:jc w:val="both"/>
        <w:rPr>
          <w:sz w:val="28"/>
          <w:szCs w:val="28"/>
          <w:lang w:val="uk-UA"/>
        </w:rPr>
      </w:pPr>
      <w:r w:rsidRPr="0074029E">
        <w:rPr>
          <w:sz w:val="28"/>
          <w:szCs w:val="28"/>
          <w:lang w:val="uk-UA"/>
        </w:rPr>
        <w:t>За рахунок залишку коштів субвенції з державного бюджету місцевим бюджетам на здійснення заходів щодо соціально-економічного розвитку окремих територій, що утворився станом на 01 січня 2019 року (за 2018 рік) на суму 1 000 000,00 грн. та кошти місцевого бюджету у вигляді спів фінансування у сумі 510 000,00 грн. було реалізовано 3 проекти:</w:t>
      </w:r>
    </w:p>
    <w:p w:rsidR="0074029E" w:rsidRPr="0074029E" w:rsidRDefault="0074029E" w:rsidP="0074029E">
      <w:pPr>
        <w:jc w:val="right"/>
        <w:rPr>
          <w:sz w:val="28"/>
          <w:szCs w:val="28"/>
          <w:lang w:val="uk-UA"/>
        </w:rPr>
      </w:pPr>
      <w:r w:rsidRPr="0074029E">
        <w:rPr>
          <w:sz w:val="28"/>
          <w:szCs w:val="28"/>
          <w:lang w:val="uk-UA"/>
        </w:rPr>
        <w:t>тис. грн.</w:t>
      </w:r>
    </w:p>
    <w:tbl>
      <w:tblPr>
        <w:tblW w:w="14955" w:type="dxa"/>
        <w:tblInd w:w="93" w:type="dxa"/>
        <w:tblLayout w:type="fixed"/>
        <w:tblLook w:val="0000"/>
      </w:tblPr>
      <w:tblGrid>
        <w:gridCol w:w="580"/>
        <w:gridCol w:w="2675"/>
        <w:gridCol w:w="1260"/>
        <w:gridCol w:w="1260"/>
        <w:gridCol w:w="1440"/>
        <w:gridCol w:w="1260"/>
        <w:gridCol w:w="1192"/>
        <w:gridCol w:w="1328"/>
        <w:gridCol w:w="1260"/>
        <w:gridCol w:w="1260"/>
        <w:gridCol w:w="1440"/>
      </w:tblGrid>
      <w:tr w:rsidR="0074029E" w:rsidRPr="0074029E" w:rsidTr="00B35AF7">
        <w:trPr>
          <w:trHeight w:val="8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Назва об'єкта, заходу, відповідно до розпорядження КМУ  (з урахуванням редакційних уточнень)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Затверджений обсяг фінансування на 2019 рік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 xml:space="preserve">Використано (касові видатки) на звітну дату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Залишок невикористаних  коштів (на рахунках місцевих бюджетів, розпорядників бюджетних коштів)</w:t>
            </w:r>
          </w:p>
        </w:tc>
      </w:tr>
      <w:tr w:rsidR="0074029E" w:rsidRPr="0074029E" w:rsidTr="00B35AF7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у тому числі за рахунок: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у тому числі за рахунок: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у тому числі за рахунок:</w:t>
            </w:r>
          </w:p>
        </w:tc>
      </w:tr>
      <w:tr w:rsidR="0074029E" w:rsidRPr="0074029E" w:rsidTr="00B35AF7">
        <w:trPr>
          <w:trHeight w:val="20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 xml:space="preserve">субвенції з державного бюджету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місцевих бюджетів (</w:t>
            </w:r>
            <w:proofErr w:type="spellStart"/>
            <w:r w:rsidRPr="0074029E">
              <w:rPr>
                <w:bCs/>
                <w:sz w:val="22"/>
                <w:szCs w:val="22"/>
                <w:lang w:val="uk-UA"/>
              </w:rPr>
              <w:t>співфінан-сування</w:t>
            </w:r>
            <w:proofErr w:type="spellEnd"/>
            <w:r w:rsidRPr="0074029E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 xml:space="preserve">субвенції з державного бюджету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місцевих бюджетів (</w:t>
            </w:r>
            <w:proofErr w:type="spellStart"/>
            <w:r w:rsidRPr="0074029E">
              <w:rPr>
                <w:bCs/>
                <w:sz w:val="22"/>
                <w:szCs w:val="22"/>
                <w:lang w:val="uk-UA"/>
              </w:rPr>
              <w:t>співфінан-сування</w:t>
            </w:r>
            <w:proofErr w:type="spellEnd"/>
            <w:r w:rsidRPr="0074029E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 xml:space="preserve">субвенції з державного бюджету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029E" w:rsidRPr="0074029E" w:rsidRDefault="0074029E" w:rsidP="00B35AF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4029E">
              <w:rPr>
                <w:bCs/>
                <w:sz w:val="22"/>
                <w:szCs w:val="22"/>
                <w:lang w:val="uk-UA"/>
              </w:rPr>
              <w:t>місцевих бюджетів (</w:t>
            </w:r>
            <w:proofErr w:type="spellStart"/>
            <w:r w:rsidRPr="0074029E">
              <w:rPr>
                <w:bCs/>
                <w:sz w:val="22"/>
                <w:szCs w:val="22"/>
                <w:lang w:val="uk-UA"/>
              </w:rPr>
              <w:t>співфінан-сування</w:t>
            </w:r>
            <w:proofErr w:type="spellEnd"/>
            <w:r w:rsidRPr="0074029E">
              <w:rPr>
                <w:bCs/>
                <w:sz w:val="22"/>
                <w:szCs w:val="22"/>
                <w:lang w:val="uk-UA"/>
              </w:rPr>
              <w:t>)</w:t>
            </w:r>
          </w:p>
        </w:tc>
      </w:tr>
      <w:tr w:rsidR="0074029E" w:rsidRPr="0074029E" w:rsidTr="00B35AF7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proofErr w:type="spellStart"/>
            <w:r w:rsidRPr="0074029E">
              <w:rPr>
                <w:sz w:val="22"/>
                <w:szCs w:val="22"/>
                <w:lang w:val="uk-UA"/>
              </w:rPr>
              <w:t>Кап.ремонт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ДНЗ "Перлинка"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с.В.Северинка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323,723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289,20364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34,51940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316,97304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289,20364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27,76940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6,75000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0,000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6,75000 </w:t>
            </w:r>
          </w:p>
        </w:tc>
      </w:tr>
      <w:tr w:rsidR="0074029E" w:rsidRPr="0074029E" w:rsidTr="00B35AF7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proofErr w:type="spellStart"/>
            <w:r w:rsidRPr="0074029E">
              <w:rPr>
                <w:sz w:val="22"/>
                <w:szCs w:val="22"/>
                <w:lang w:val="uk-UA"/>
              </w:rPr>
              <w:t>Кап.ремонт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СБК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с.В.Северинка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281,073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260,79636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20,277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273,9205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260,79636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13,12411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27,15249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0,00000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27,15249 </w:t>
            </w:r>
          </w:p>
        </w:tc>
      </w:tr>
      <w:tr w:rsidR="0074029E" w:rsidRPr="0074029E" w:rsidTr="00B35AF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proofErr w:type="spellStart"/>
            <w:r w:rsidRPr="0074029E">
              <w:rPr>
                <w:sz w:val="22"/>
                <w:szCs w:val="22"/>
                <w:lang w:val="uk-UA"/>
              </w:rPr>
              <w:t>Кап.ремонт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спорт.зали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при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Оситнязькому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СБК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905,204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450,000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455,204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791,35150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430,10350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361,248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93,85250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19,897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73,956 </w:t>
            </w:r>
          </w:p>
        </w:tc>
      </w:tr>
      <w:tr w:rsidR="0074029E" w:rsidRPr="0074029E" w:rsidTr="00B35AF7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Усього по району (місту,ОТГ)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1 510,000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1 000,000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510,000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ind w:left="-108"/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1 382,24501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ind w:left="-108"/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980,10350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402,1415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127,75499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19,89650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107,85849 </w:t>
            </w:r>
          </w:p>
        </w:tc>
      </w:tr>
    </w:tbl>
    <w:p w:rsidR="0074029E" w:rsidRPr="0074029E" w:rsidRDefault="0074029E" w:rsidP="0074029E">
      <w:pPr>
        <w:rPr>
          <w:sz w:val="28"/>
          <w:szCs w:val="28"/>
          <w:lang w:val="uk-UA"/>
        </w:rPr>
      </w:pPr>
    </w:p>
    <w:p w:rsidR="0074029E" w:rsidRPr="0074029E" w:rsidRDefault="0074029E" w:rsidP="0074029E">
      <w:pPr>
        <w:rPr>
          <w:sz w:val="28"/>
          <w:szCs w:val="28"/>
          <w:lang w:val="uk-UA"/>
        </w:rPr>
      </w:pPr>
    </w:p>
    <w:p w:rsidR="0074029E" w:rsidRPr="0074029E" w:rsidRDefault="0074029E" w:rsidP="0074029E">
      <w:pPr>
        <w:rPr>
          <w:sz w:val="28"/>
          <w:szCs w:val="28"/>
          <w:lang w:val="uk-UA"/>
        </w:rPr>
      </w:pPr>
    </w:p>
    <w:tbl>
      <w:tblPr>
        <w:tblW w:w="15348" w:type="dxa"/>
        <w:tblInd w:w="93" w:type="dxa"/>
        <w:tblLook w:val="0000"/>
      </w:tblPr>
      <w:tblGrid>
        <w:gridCol w:w="493"/>
        <w:gridCol w:w="4420"/>
        <w:gridCol w:w="1180"/>
        <w:gridCol w:w="1324"/>
        <w:gridCol w:w="2015"/>
        <w:gridCol w:w="1576"/>
        <w:gridCol w:w="4340"/>
      </w:tblGrid>
      <w:tr w:rsidR="0074029E" w:rsidRPr="0074029E" w:rsidTr="00B35AF7">
        <w:trPr>
          <w:trHeight w:val="40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right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4029E" w:rsidRPr="0074029E" w:rsidTr="00B35AF7">
        <w:trPr>
          <w:trHeight w:val="345"/>
        </w:trPr>
        <w:tc>
          <w:tcPr>
            <w:tcW w:w="1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74029E">
              <w:rPr>
                <w:b/>
                <w:bCs/>
                <w:sz w:val="36"/>
                <w:szCs w:val="36"/>
                <w:lang w:val="uk-UA"/>
              </w:rPr>
              <w:t>ВИКОНАННЯ</w:t>
            </w:r>
          </w:p>
        </w:tc>
      </w:tr>
      <w:tr w:rsidR="0074029E" w:rsidRPr="0074029E" w:rsidTr="00B35AF7">
        <w:trPr>
          <w:trHeight w:val="375"/>
        </w:trPr>
        <w:tc>
          <w:tcPr>
            <w:tcW w:w="1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sz w:val="28"/>
                <w:szCs w:val="28"/>
                <w:lang w:val="uk-UA"/>
              </w:rPr>
            </w:pPr>
            <w:r w:rsidRPr="0074029E">
              <w:rPr>
                <w:sz w:val="28"/>
                <w:szCs w:val="28"/>
                <w:lang w:val="uk-UA"/>
              </w:rPr>
              <w:t>за 2019 рік</w:t>
            </w:r>
          </w:p>
        </w:tc>
      </w:tr>
      <w:tr w:rsidR="0074029E" w:rsidRPr="0074029E" w:rsidTr="00B35AF7">
        <w:trPr>
          <w:trHeight w:val="375"/>
        </w:trPr>
        <w:tc>
          <w:tcPr>
            <w:tcW w:w="1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sz w:val="28"/>
                <w:szCs w:val="28"/>
                <w:lang w:val="uk-UA"/>
              </w:rPr>
            </w:pPr>
            <w:r w:rsidRPr="0074029E">
              <w:rPr>
                <w:sz w:val="28"/>
                <w:szCs w:val="28"/>
                <w:lang w:val="uk-UA"/>
              </w:rPr>
              <w:t>заходів програми економічного і соціального розвитку</w:t>
            </w:r>
          </w:p>
        </w:tc>
      </w:tr>
      <w:tr w:rsidR="0074029E" w:rsidRPr="0074029E" w:rsidTr="00B35AF7">
        <w:trPr>
          <w:trHeight w:val="345"/>
        </w:trPr>
        <w:tc>
          <w:tcPr>
            <w:tcW w:w="15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sz w:val="28"/>
                <w:szCs w:val="28"/>
                <w:lang w:val="uk-UA"/>
              </w:rPr>
            </w:pPr>
            <w:r w:rsidRPr="0074029E">
              <w:rPr>
                <w:sz w:val="28"/>
                <w:szCs w:val="28"/>
                <w:lang w:val="uk-UA"/>
              </w:rPr>
              <w:t>Великосеверинівська об'єднана територіальна громада</w:t>
            </w:r>
          </w:p>
        </w:tc>
      </w:tr>
      <w:tr w:rsidR="0074029E" w:rsidRPr="0074029E" w:rsidTr="00B35AF7">
        <w:trPr>
          <w:trHeight w:val="1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sz w:val="4"/>
                <w:szCs w:val="4"/>
                <w:lang w:val="uk-UA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51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№ </w:t>
            </w:r>
            <w:r w:rsidRPr="0074029E">
              <w:rPr>
                <w:b/>
                <w:bCs/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 xml:space="preserve">Назва заходу, </w:t>
            </w:r>
            <w:r w:rsidRPr="0074029E">
              <w:rPr>
                <w:b/>
                <w:bCs/>
                <w:sz w:val="22"/>
                <w:szCs w:val="22"/>
                <w:lang w:val="uk-UA"/>
              </w:rPr>
              <w:br/>
              <w:t xml:space="preserve">його місцезнаходження  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Термін реалізації проекту: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Освоєння коштів у 2019 році</w:t>
            </w:r>
            <w:r w:rsidRPr="0074029E">
              <w:rPr>
                <w:b/>
                <w:bCs/>
                <w:sz w:val="22"/>
                <w:szCs w:val="22"/>
                <w:lang w:val="uk-UA"/>
              </w:rPr>
              <w:br/>
            </w:r>
            <w:proofErr w:type="spellStart"/>
            <w:r w:rsidRPr="0074029E">
              <w:rPr>
                <w:b/>
                <w:bCs/>
                <w:sz w:val="22"/>
                <w:szCs w:val="22"/>
                <w:lang w:val="uk-UA"/>
              </w:rPr>
              <w:t>тис.грн</w:t>
            </w:r>
            <w:proofErr w:type="spellEnd"/>
            <w:r w:rsidRPr="0074029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Примітка</w:t>
            </w:r>
          </w:p>
        </w:tc>
      </w:tr>
      <w:tr w:rsidR="0074029E" w:rsidRPr="0074029E" w:rsidTr="00B35AF7">
        <w:trPr>
          <w:trHeight w:val="28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дата початку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дата закінчення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4029E" w:rsidRPr="0074029E" w:rsidTr="00B35AF7">
        <w:trPr>
          <w:trHeight w:val="8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4029E" w:rsidRPr="0074029E" w:rsidTr="00B35AF7">
        <w:trPr>
          <w:trHeight w:val="2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12</w:t>
            </w:r>
          </w:p>
        </w:tc>
      </w:tr>
      <w:tr w:rsidR="0074029E" w:rsidRPr="0074029E" w:rsidTr="00B35AF7">
        <w:trPr>
          <w:trHeight w:val="525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FFFFFF"/>
                <w:sz w:val="28"/>
                <w:szCs w:val="28"/>
                <w:lang w:val="uk-UA"/>
              </w:rPr>
            </w:pPr>
            <w:r w:rsidRPr="0074029E">
              <w:rPr>
                <w:b/>
                <w:bCs/>
                <w:color w:val="FFFFFF"/>
                <w:sz w:val="28"/>
                <w:szCs w:val="28"/>
                <w:lang w:val="uk-UA"/>
              </w:rPr>
              <w:t>Водопостачання та водовідведення</w:t>
            </w: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Охорона джерел питного водопостачання та доведення якості питної води до встановлених нормативів: с. Велика Северинка,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Підгайці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Оситняжка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лабораторні дослідження води колодязної. Придбання</w:t>
            </w:r>
            <w:r>
              <w:rPr>
                <w:rFonts w:ascii="Arial" w:hAnsi="Arial"/>
                <w:sz w:val="20"/>
                <w:szCs w:val="20"/>
                <w:lang w:val="uk-UA"/>
              </w:rPr>
              <w:t xml:space="preserve"> </w:t>
            </w:r>
            <w:r w:rsidRPr="0074029E">
              <w:rPr>
                <w:rFonts w:ascii="Arial" w:hAnsi="Arial"/>
                <w:sz w:val="20"/>
                <w:szCs w:val="20"/>
                <w:lang w:val="uk-UA"/>
              </w:rPr>
              <w:t>будиночків для колодязів. придбання фільтрів</w:t>
            </w: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45,2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Інші  джерела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45,2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45,2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525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FFFFFF"/>
                <w:sz w:val="28"/>
                <w:szCs w:val="28"/>
                <w:lang w:val="uk-UA"/>
              </w:rPr>
            </w:pPr>
            <w:r w:rsidRPr="0074029E">
              <w:rPr>
                <w:b/>
                <w:bCs/>
                <w:color w:val="FFFFFF"/>
                <w:sz w:val="28"/>
                <w:szCs w:val="28"/>
                <w:lang w:val="uk-UA"/>
              </w:rPr>
              <w:t>Освітлення</w:t>
            </w: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Реконструкція, капітальний ремонт та модернізація зовнішнього освітлення с. Велика Северинка,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Підгайці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Оситняжка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вул.освтілення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= 22,9; громадський проект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с.Оситняжка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вул.освітлення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на сонячних батареях = 98,9</w:t>
            </w: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121,8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Інші  джерела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121,8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121,8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525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FFFFFF"/>
                <w:sz w:val="28"/>
                <w:szCs w:val="28"/>
                <w:lang w:val="uk-UA"/>
              </w:rPr>
            </w:pPr>
            <w:r w:rsidRPr="0074029E">
              <w:rPr>
                <w:b/>
                <w:bCs/>
                <w:color w:val="FFFFFF"/>
                <w:sz w:val="28"/>
                <w:szCs w:val="28"/>
                <w:lang w:val="uk-UA"/>
              </w:rPr>
              <w:lastRenderedPageBreak/>
              <w:t>Дороги та транспортні споруди</w:t>
            </w:r>
          </w:p>
        </w:tc>
      </w:tr>
      <w:tr w:rsidR="0074029E" w:rsidRPr="0074029E" w:rsidTr="00B35AF7">
        <w:trPr>
          <w:trHeight w:val="42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74029E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Проведення поточного та капітального ремонту доріг комунальної власності та об'єктів дорожньої інфраструктури (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с.Велика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Северинка вул.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Василівська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(улаштування біло щебеневого покриття),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Підгайці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вулиці Зарічна,Тарана (улаштування біло щебеневого покриття),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Оситняжка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вулиці Пушкінські, Набережно-Пушкінські, Садова-Центральна (ямковий ремонт асфальтобетонного покриття;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Лозуватка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вул. Фермерська, Садова (улаштування біло щебеневого покриття)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ПКД кап рем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вул.Гагаріна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с.В.Северинка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, поточний ремонт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вул.Шевченко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вул.Вишнева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вул.Київська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Підгайці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; поточний ремонт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вул.Черемушки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с.Оситняжка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; поточний ремонт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вул.Миру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с.В.Северинка</w:t>
            </w:r>
            <w:proofErr w:type="spellEnd"/>
          </w:p>
        </w:tc>
      </w:tr>
      <w:tr w:rsidR="0074029E" w:rsidRPr="0074029E" w:rsidTr="00B35AF7">
        <w:trPr>
          <w:trHeight w:val="45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485,8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МТД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249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485,8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485,8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525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FFFFFF"/>
                <w:sz w:val="28"/>
                <w:szCs w:val="28"/>
                <w:lang w:val="uk-UA"/>
              </w:rPr>
            </w:pPr>
            <w:r w:rsidRPr="0074029E">
              <w:rPr>
                <w:b/>
                <w:bCs/>
                <w:color w:val="FFFFFF"/>
                <w:sz w:val="28"/>
                <w:szCs w:val="28"/>
                <w:lang w:val="uk-UA"/>
              </w:rPr>
              <w:t>Екологічні заходи</w:t>
            </w:r>
          </w:p>
        </w:tc>
      </w:tr>
      <w:tr w:rsidR="0074029E" w:rsidRPr="0074029E" w:rsidTr="00B35AF7">
        <w:trPr>
          <w:trHeight w:val="433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Заходи щодо відновлення і підтримання сприятливого гідрологічного режиму та санітарного стану р.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Мамайка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на ділянці від об'їзної дороги М-12 Стрій-Тернопіль-Кіровоград-Знам'янка до вул. Паркова в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Підгайці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>, на території Великосеверинівської сільської ради Кіровоградського району Кіровоградської області, з розробленням проектно-кошторисної документації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511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ОБ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229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525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lastRenderedPageBreak/>
              <w:t>Освіта</w:t>
            </w: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74029E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Створення сучасних умов для навчання та виховання дітей з особливими потребами шляхом реконструкції частини приміщень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Оситнязької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ЗШ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Оситнязькій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ЗШ І-ІІ ступенів -  філії </w:t>
            </w:r>
            <w:proofErr w:type="spellStart"/>
            <w:r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«Великосеверинівська ЗШ І-ІІІ ступенів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67,6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979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67,6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поточний ремонт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ганків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шкіл ОТГ</w:t>
            </w: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Створення сучасного освітнього простору початкової школи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«Великосеверинівська ЗШ І-ІІІ ступенів»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71,6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придбані дидактичні матеріали, меблі, комп'ютера та поточні ремонти кабінетів 1-х класів шкіл ОТГ</w:t>
            </w: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227,3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298,9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Створення сучасної театральної студії в актовому залі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«Великосеверинівська ЗШ І-ІІІ ступенів»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придбали будівельного матеріалу для театральної студії </w:t>
            </w: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44,6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44,6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Створення сучасного кабінету мови і літератури в 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в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«Великосеверинівська ЗШ І-ІІІ ступенів»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інтерактивна дошка з проектором,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ноут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>, поточний ремонт освітлення</w:t>
            </w: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ОБ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МТД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Інші  джерела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470,1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525"/>
        </w:trPr>
        <w:tc>
          <w:tcPr>
            <w:tcW w:w="15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color w:val="FFFFFF"/>
                <w:sz w:val="28"/>
                <w:szCs w:val="28"/>
                <w:lang w:val="uk-UA"/>
              </w:rPr>
            </w:pPr>
            <w:r w:rsidRPr="0074029E">
              <w:rPr>
                <w:b/>
                <w:bCs/>
                <w:color w:val="FFFFFF"/>
                <w:sz w:val="28"/>
                <w:szCs w:val="28"/>
                <w:lang w:val="uk-UA"/>
              </w:rPr>
              <w:t>Культура</w:t>
            </w: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Капітальний ремонт сільського будинку культури (вікна, дверні блоки) с. Велика Северинка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461,1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461,1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Капітальний ремонт будівлі сільського клубу (вікна, дверні блоки),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Підгайці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193,4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193,4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Капітальний ремонт будівлі сільського клубу,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Лозуватка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675,1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675,1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Капітальний ремонт спортзали при сільському будинку культури,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Оситняжка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1180,8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1180,8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2510,4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600"/>
        </w:trPr>
        <w:tc>
          <w:tcPr>
            <w:tcW w:w="11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80"/>
            <w:vAlign w:val="center"/>
          </w:tcPr>
          <w:p w:rsidR="0074029E" w:rsidRPr="0074029E" w:rsidRDefault="0074029E" w:rsidP="00B35AF7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74029E">
              <w:rPr>
                <w:color w:val="FFFFFF"/>
                <w:sz w:val="28"/>
                <w:szCs w:val="28"/>
                <w:lang w:val="uk-UA"/>
              </w:rPr>
              <w:t>Охорона здоров'я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1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Капітальний ремонт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Оситнязької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 лікарської амбулаторії загальної практики сімейної медицини,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Оситняжка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40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3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Капітальний ремонт приміщення ФАПУ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Підгайці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30"/>
        </w:trPr>
        <w:tc>
          <w:tcPr>
            <w:tcW w:w="1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80"/>
            <w:vAlign w:val="center"/>
          </w:tcPr>
          <w:p w:rsidR="0074029E" w:rsidRPr="0074029E" w:rsidRDefault="0074029E" w:rsidP="00B35AF7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74029E">
              <w:rPr>
                <w:color w:val="FFFFFF"/>
                <w:sz w:val="28"/>
                <w:szCs w:val="28"/>
                <w:lang w:val="uk-UA"/>
              </w:rPr>
              <w:t>Спортивні споруди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3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Реконструкція та капітальний ремонт спортивного стадіону "Юніор", с. Велика Северинка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236,1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236,1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236,1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30"/>
        </w:trPr>
        <w:tc>
          <w:tcPr>
            <w:tcW w:w="1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80"/>
            <w:vAlign w:val="center"/>
          </w:tcPr>
          <w:p w:rsidR="0074029E" w:rsidRPr="0074029E" w:rsidRDefault="0074029E" w:rsidP="00B35AF7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74029E">
              <w:rPr>
                <w:color w:val="FFFFFF"/>
                <w:sz w:val="28"/>
                <w:szCs w:val="28"/>
                <w:lang w:val="uk-UA"/>
              </w:rPr>
              <w:t>Інші галузі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54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Розроблення та коригування генерального плану села, с. Велика Северинка,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Підгайці</w:t>
            </w:r>
            <w:proofErr w:type="spellEnd"/>
            <w:r w:rsidRPr="0074029E">
              <w:rPr>
                <w:sz w:val="22"/>
                <w:szCs w:val="22"/>
                <w:lang w:val="uk-UA"/>
              </w:rPr>
              <w:t xml:space="preserve">, с. </w:t>
            </w:r>
            <w:proofErr w:type="spellStart"/>
            <w:r w:rsidRPr="0074029E">
              <w:rPr>
                <w:sz w:val="22"/>
                <w:szCs w:val="22"/>
                <w:lang w:val="uk-UA"/>
              </w:rPr>
              <w:t>Кандаурове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327,7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029E" w:rsidRPr="0074029E" w:rsidRDefault="0074029E" w:rsidP="00B35AF7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містобудівна документація "оновлення та внесення змін до генерального плану села Велика Северинка 167,3+106,8 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Оситняжка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160, землеустрій 187,5 тис. грн., в т.ч.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Кандаурове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37,15 та </w:t>
            </w:r>
            <w:proofErr w:type="spellStart"/>
            <w:r w:rsidRPr="0074029E">
              <w:rPr>
                <w:rFonts w:ascii="Arial" w:hAnsi="Arial"/>
                <w:sz w:val="20"/>
                <w:szCs w:val="20"/>
                <w:lang w:val="uk-UA"/>
              </w:rPr>
              <w:t>Лозуватка</w:t>
            </w:r>
            <w:proofErr w:type="spellEnd"/>
            <w:r w:rsidRPr="0074029E">
              <w:rPr>
                <w:rFonts w:ascii="Arial" w:hAnsi="Arial"/>
                <w:sz w:val="20"/>
                <w:szCs w:val="20"/>
                <w:lang w:val="uk-UA"/>
              </w:rPr>
              <w:t xml:space="preserve"> 113,85</w:t>
            </w:r>
          </w:p>
        </w:tc>
      </w:tr>
      <w:tr w:rsidR="0074029E" w:rsidRPr="0074029E" w:rsidTr="00B35AF7">
        <w:trPr>
          <w:trHeight w:val="3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295,3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45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623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Разом по галузі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918,3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</w:p>
        </w:tc>
      </w:tr>
      <w:tr w:rsidR="0074029E" w:rsidRPr="0074029E" w:rsidTr="00B35AF7">
        <w:trPr>
          <w:trHeight w:val="600"/>
        </w:trPr>
        <w:tc>
          <w:tcPr>
            <w:tcW w:w="1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74029E">
              <w:rPr>
                <w:color w:val="FFFFFF"/>
                <w:sz w:val="28"/>
                <w:szCs w:val="28"/>
                <w:lang w:val="uk-UA"/>
              </w:rPr>
              <w:lastRenderedPageBreak/>
              <w:t xml:space="preserve">Благоустрій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66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 xml:space="preserve">Проведення благоустрою у населених пунктах  Великосеверинівської сільської ради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lang w:val="uk-UA"/>
              </w:rPr>
            </w:pPr>
            <w:r w:rsidRPr="0074029E">
              <w:rPr>
                <w:lang w:val="uk-UA"/>
              </w:rPr>
              <w:t>ДБ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1011,8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1011,8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00"/>
        </w:trPr>
        <w:tc>
          <w:tcPr>
            <w:tcW w:w="7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sz w:val="22"/>
                <w:szCs w:val="22"/>
                <w:lang w:val="uk-UA"/>
              </w:rPr>
              <w:t>РАЗОМ  ПО  ПРОЕКТАХ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Д 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1074,4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00"/>
        </w:trPr>
        <w:tc>
          <w:tcPr>
            <w:tcW w:w="7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ОБ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00"/>
        </w:trPr>
        <w:tc>
          <w:tcPr>
            <w:tcW w:w="7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 Б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3418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00"/>
        </w:trPr>
        <w:tc>
          <w:tcPr>
            <w:tcW w:w="7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МТД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300"/>
        </w:trPr>
        <w:tc>
          <w:tcPr>
            <w:tcW w:w="7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Інші  джерела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9E" w:rsidRPr="0074029E" w:rsidRDefault="0074029E" w:rsidP="00B35AF7">
            <w:pPr>
              <w:jc w:val="center"/>
              <w:rPr>
                <w:sz w:val="22"/>
                <w:szCs w:val="22"/>
                <w:lang w:val="uk-UA"/>
              </w:rPr>
            </w:pPr>
            <w:r w:rsidRPr="0074029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  <w:tr w:rsidR="0074029E" w:rsidRPr="0074029E" w:rsidTr="00B35AF7">
        <w:trPr>
          <w:trHeight w:val="900"/>
        </w:trPr>
        <w:tc>
          <w:tcPr>
            <w:tcW w:w="7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9E" w:rsidRPr="0074029E" w:rsidRDefault="0074029E" w:rsidP="00B35AF7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i/>
                <w:iCs/>
                <w:sz w:val="22"/>
                <w:szCs w:val="22"/>
                <w:lang w:val="uk-UA"/>
              </w:rPr>
              <w:t>Разом по району/місту/ОТГ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74029E" w:rsidRPr="0074029E" w:rsidRDefault="0074029E" w:rsidP="00B35AF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74029E">
              <w:rPr>
                <w:b/>
                <w:bCs/>
                <w:i/>
                <w:iCs/>
                <w:sz w:val="22"/>
                <w:szCs w:val="22"/>
                <w:lang w:val="uk-UA"/>
              </w:rPr>
              <w:t>4492,4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9E" w:rsidRPr="0074029E" w:rsidRDefault="0074029E" w:rsidP="00B35AF7">
            <w:pPr>
              <w:rPr>
                <w:rFonts w:ascii="Arial" w:hAnsi="Arial"/>
                <w:sz w:val="20"/>
                <w:szCs w:val="20"/>
                <w:lang w:val="uk-UA"/>
              </w:rPr>
            </w:pPr>
            <w:r w:rsidRPr="0074029E">
              <w:rPr>
                <w:rFonts w:ascii="Arial" w:hAnsi="Arial"/>
                <w:sz w:val="20"/>
                <w:szCs w:val="20"/>
                <w:lang w:val="uk-UA"/>
              </w:rPr>
              <w:t> </w:t>
            </w:r>
          </w:p>
        </w:tc>
      </w:tr>
    </w:tbl>
    <w:p w:rsidR="0074029E" w:rsidRPr="0074029E" w:rsidRDefault="0074029E" w:rsidP="0074029E">
      <w:pPr>
        <w:rPr>
          <w:sz w:val="32"/>
          <w:szCs w:val="32"/>
          <w:lang w:val="uk-UA"/>
        </w:rPr>
      </w:pPr>
    </w:p>
    <w:p w:rsidR="0074029E" w:rsidRPr="0074029E" w:rsidRDefault="0074029E" w:rsidP="0074029E">
      <w:pPr>
        <w:rPr>
          <w:lang w:val="uk-UA"/>
        </w:rPr>
      </w:pPr>
    </w:p>
    <w:p w:rsidR="00FB269F" w:rsidRPr="0074029E" w:rsidRDefault="00FB269F">
      <w:pPr>
        <w:rPr>
          <w:lang w:val="uk-UA"/>
        </w:rPr>
      </w:pPr>
    </w:p>
    <w:sectPr w:rsidR="00FB269F" w:rsidRPr="0074029E" w:rsidSect="0097632C">
      <w:pgSz w:w="16838" w:h="11906" w:orient="landscape"/>
      <w:pgMar w:top="567" w:right="902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1DC"/>
    <w:multiLevelType w:val="hybridMultilevel"/>
    <w:tmpl w:val="12A6EF80"/>
    <w:lvl w:ilvl="0" w:tplc="AE68829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5FF040F"/>
    <w:multiLevelType w:val="hybridMultilevel"/>
    <w:tmpl w:val="BBD67CAC"/>
    <w:lvl w:ilvl="0" w:tplc="522CF30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5A245A08"/>
    <w:multiLevelType w:val="hybridMultilevel"/>
    <w:tmpl w:val="2C6EF286"/>
    <w:lvl w:ilvl="0" w:tplc="5D809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9E"/>
    <w:rsid w:val="0074029E"/>
    <w:rsid w:val="00FB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9E"/>
    <w:pPr>
      <w:ind w:left="720"/>
      <w:contextualSpacing/>
    </w:pPr>
  </w:style>
  <w:style w:type="paragraph" w:styleId="a4">
    <w:name w:val="Normal (Web)"/>
    <w:basedOn w:val="a"/>
    <w:unhideWhenUsed/>
    <w:rsid w:val="0074029E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qFormat/>
    <w:rsid w:val="00740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4029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DL" w:eastAsia="Times New Roman" w:hAnsi="SchoolDL" w:cs="Times New Roman"/>
      <w:sz w:val="28"/>
      <w:szCs w:val="20"/>
      <w:lang w:val="en-US" w:eastAsia="ru-RU"/>
    </w:rPr>
  </w:style>
  <w:style w:type="character" w:customStyle="1" w:styleId="2">
    <w:name w:val="Основной текст (2)_"/>
    <w:basedOn w:val="a0"/>
    <w:link w:val="20"/>
    <w:rsid w:val="0074029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29E"/>
    <w:pPr>
      <w:widowControl w:val="0"/>
      <w:shd w:val="clear" w:color="auto" w:fill="FFFFFF"/>
      <w:spacing w:line="317" w:lineRule="exact"/>
      <w:jc w:val="both"/>
    </w:pPr>
    <w:rPr>
      <w:rFonts w:cstheme="minorBidi"/>
      <w:sz w:val="28"/>
      <w:szCs w:val="28"/>
      <w:lang w:eastAsia="en-US"/>
    </w:rPr>
  </w:style>
  <w:style w:type="paragraph" w:customStyle="1" w:styleId="ListParagraph">
    <w:name w:val="List Paragraph"/>
    <w:basedOn w:val="a"/>
    <w:rsid w:val="007402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40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4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2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74029E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2804</Words>
  <Characters>15988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2020-02-15T17:56:00Z</dcterms:created>
  <dcterms:modified xsi:type="dcterms:W3CDTF">2020-02-15T18:00:00Z</dcterms:modified>
</cp:coreProperties>
</file>