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082" w:rsidRDefault="00537082" w:rsidP="004C2A77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52" w:rsidRPr="00CD3ADE" w:rsidRDefault="003B2A52" w:rsidP="003B2A52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3B2A52" w:rsidRPr="00CD3ADE" w:rsidRDefault="003B2A52" w:rsidP="003B2A52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</w:t>
      </w:r>
      <w:r w:rsidR="007A7AEF">
        <w:rPr>
          <w:lang w:val="uk-UA"/>
        </w:rPr>
        <w:t>ринівської сільської ради від «28</w:t>
      </w:r>
      <w:r w:rsidRPr="00CD3ADE">
        <w:rPr>
          <w:lang w:val="uk-UA"/>
        </w:rPr>
        <w:t xml:space="preserve">» грудня 2020 року № </w:t>
      </w:r>
      <w:r w:rsidR="007A7AEF">
        <w:rPr>
          <w:lang w:val="uk-UA"/>
        </w:rPr>
        <w:t>90</w:t>
      </w:r>
    </w:p>
    <w:p w:rsidR="004C2A77" w:rsidRPr="00687803" w:rsidRDefault="004C2A77" w:rsidP="004C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77" w:rsidRPr="00687803" w:rsidRDefault="004C2A77" w:rsidP="004C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C2A77" w:rsidRDefault="004C2A77" w:rsidP="004C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програми реформування і розвитку житлово-комунального господарства Великосеверинівської сільської ради</w:t>
      </w:r>
    </w:p>
    <w:p w:rsidR="004C2A77" w:rsidRDefault="004C2A77" w:rsidP="004C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2023 роки</w:t>
      </w:r>
    </w:p>
    <w:p w:rsidR="004C2A77" w:rsidRPr="00687803" w:rsidRDefault="004C2A77" w:rsidP="004C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00"/>
        <w:gridCol w:w="4472"/>
      </w:tblGrid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затверджена: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>Великосеверинівська сільська рада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номер і назва розпорядження голови облдержадміністрації про розроблення програми 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Розробник програми</w:t>
            </w:r>
          </w:p>
        </w:tc>
        <w:tc>
          <w:tcPr>
            <w:tcW w:w="4472" w:type="dxa"/>
          </w:tcPr>
          <w:p w:rsidR="004C2A77" w:rsidRPr="00BD1D74" w:rsidRDefault="004C2A77" w:rsidP="003B2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74">
              <w:rPr>
                <w:rFonts w:ascii="Times New Roman" w:hAnsi="Times New Roman"/>
                <w:sz w:val="24"/>
                <w:szCs w:val="24"/>
              </w:rPr>
              <w:t>Відділ</w:t>
            </w:r>
            <w:r w:rsidR="003B2A52">
              <w:rPr>
                <w:rFonts w:ascii="Times New Roman" w:hAnsi="Times New Roman"/>
                <w:sz w:val="24"/>
                <w:szCs w:val="24"/>
              </w:rPr>
              <w:t xml:space="preserve"> земельних </w:t>
            </w:r>
            <w:r w:rsidRPr="00BD1D74">
              <w:rPr>
                <w:rFonts w:ascii="Times New Roman" w:hAnsi="Times New Roman"/>
                <w:sz w:val="24"/>
                <w:szCs w:val="24"/>
              </w:rPr>
              <w:t>відносин, комунальної власності, житлово–комунального господарства, інфраструктури та економічного розвитку Великосеверинівської сільської ради</w:t>
            </w: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Співрозробники програми 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A52" w:rsidRPr="00687803" w:rsidTr="00A92636">
        <w:tc>
          <w:tcPr>
            <w:tcW w:w="468" w:type="dxa"/>
          </w:tcPr>
          <w:p w:rsidR="003B2A52" w:rsidRPr="00687803" w:rsidRDefault="003B2A52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00" w:type="dxa"/>
          </w:tcPr>
          <w:p w:rsidR="003B2A52" w:rsidRPr="00687803" w:rsidRDefault="003B2A52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4472" w:type="dxa"/>
          </w:tcPr>
          <w:p w:rsidR="003B2A52" w:rsidRPr="00BD1D74" w:rsidRDefault="003B2A52" w:rsidP="00B9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74">
              <w:rPr>
                <w:rFonts w:ascii="Times New Roman" w:hAnsi="Times New Roman"/>
                <w:sz w:val="24"/>
                <w:szCs w:val="24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земельних </w:t>
            </w:r>
            <w:r w:rsidRPr="00BD1D74">
              <w:rPr>
                <w:rFonts w:ascii="Times New Roman" w:hAnsi="Times New Roman"/>
                <w:sz w:val="24"/>
                <w:szCs w:val="24"/>
              </w:rPr>
              <w:t>відносин, комунальної власності, житлово–комунального господарства, інфраструктури та економічного розвитку Великосеверинівської сільської ради</w:t>
            </w:r>
          </w:p>
        </w:tc>
      </w:tr>
      <w:tr w:rsidR="004C2A77" w:rsidRPr="00687803" w:rsidTr="00A92636">
        <w:tc>
          <w:tcPr>
            <w:tcW w:w="468" w:type="dxa"/>
            <w:tcBorders>
              <w:bottom w:val="single" w:sz="4" w:space="0" w:color="auto"/>
            </w:tcBorders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Учасники програми </w:t>
            </w:r>
          </w:p>
        </w:tc>
        <w:tc>
          <w:tcPr>
            <w:tcW w:w="4472" w:type="dxa"/>
          </w:tcPr>
          <w:p w:rsidR="004C2A77" w:rsidRPr="00687803" w:rsidRDefault="00537082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Великосеверинівська сільська рада</w:t>
            </w:r>
          </w:p>
        </w:tc>
      </w:tr>
      <w:tr w:rsidR="004C2A77" w:rsidRPr="00687803" w:rsidTr="00A92636">
        <w:tc>
          <w:tcPr>
            <w:tcW w:w="468" w:type="dxa"/>
            <w:tcBorders>
              <w:bottom w:val="nil"/>
            </w:tcBorders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реалізації програми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місцевих бюджетів, які беруть участь у виконанні програми (</w:t>
            </w:r>
            <w:r w:rsidRPr="00687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комплексних програм </w:t>
            </w: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Державний, місцевий бюджети 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  <w:vMerge w:val="restart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(прогнозний) обсяг фінансових ресурсів, необхідних для реалізації програми, усього,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4472" w:type="dxa"/>
          </w:tcPr>
          <w:p w:rsidR="004C2A77" w:rsidRPr="00687803" w:rsidRDefault="00D318FC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37565,0</w:t>
            </w:r>
            <w:r w:rsidR="004C2A77"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тис</w:t>
            </w:r>
            <w:r w:rsidR="004C2A77" w:rsidRPr="00687803">
              <w:rPr>
                <w:rFonts w:ascii="Times New Roman" w:hAnsi="Times New Roman" w:cs="Times New Roman"/>
                <w:sz w:val="24"/>
                <w:szCs w:val="24"/>
              </w:rPr>
              <w:t>. грн.</w:t>
            </w:r>
          </w:p>
        </w:tc>
      </w:tr>
      <w:tr w:rsidR="004C2A77" w:rsidRPr="00687803" w:rsidTr="00A92636">
        <w:tc>
          <w:tcPr>
            <w:tcW w:w="468" w:type="dxa"/>
            <w:vMerge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4472" w:type="dxa"/>
          </w:tcPr>
          <w:p w:rsidR="004C2A77" w:rsidRPr="00D318FC" w:rsidRDefault="00D318FC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27500,0</w:t>
            </w:r>
            <w:r w:rsidR="004C2A77"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тис.грн.</w:t>
            </w:r>
          </w:p>
        </w:tc>
      </w:tr>
      <w:tr w:rsidR="004C2A77" w:rsidRPr="00687803" w:rsidTr="00A92636">
        <w:tc>
          <w:tcPr>
            <w:tcW w:w="468" w:type="dxa"/>
            <w:vMerge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</w:tcPr>
          <w:p w:rsidR="004C2A77" w:rsidRPr="00687803" w:rsidRDefault="004C2A77" w:rsidP="00A9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кошти бюджету місцевого самоврядування</w:t>
            </w:r>
          </w:p>
        </w:tc>
        <w:tc>
          <w:tcPr>
            <w:tcW w:w="4472" w:type="dxa"/>
          </w:tcPr>
          <w:p w:rsidR="004C2A77" w:rsidRPr="00D318FC" w:rsidRDefault="00D318FC" w:rsidP="00A92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10065,0</w:t>
            </w:r>
            <w:r w:rsidR="004C2A77"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тис.грн.</w:t>
            </w:r>
          </w:p>
        </w:tc>
      </w:tr>
      <w:tr w:rsidR="004C2A77" w:rsidRPr="00687803" w:rsidTr="00A92636">
        <w:trPr>
          <w:trHeight w:val="2117"/>
        </w:trPr>
        <w:tc>
          <w:tcPr>
            <w:tcW w:w="468" w:type="dxa"/>
            <w:vMerge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джерела фінансування програми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>Реалізація програми здійснюватиметься за рахун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коштів державного, місцевого</w:t>
            </w: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 xml:space="preserve"> бюджетів. Крім того, прогнозується залучення коштів за рахунок інших джерел фінансування, не заборонених чинним законодавством.</w:t>
            </w:r>
          </w:p>
        </w:tc>
      </w:tr>
    </w:tbl>
    <w:p w:rsidR="004C2A77" w:rsidRPr="00687803" w:rsidRDefault="004C2A77" w:rsidP="004C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77" w:rsidRPr="004C2A77" w:rsidRDefault="003B2A52" w:rsidP="004C2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________________________</w:t>
      </w:r>
    </w:p>
    <w:p w:rsidR="008975C8" w:rsidRPr="008975C8" w:rsidRDefault="008975C8" w:rsidP="008975C8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8975C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en-US"/>
        </w:rPr>
        <w:t>1</w:t>
      </w:r>
      <w:r w:rsidRPr="008975C8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F34EE9" w:rsidRDefault="00F34EE9" w:rsidP="00F34EE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4C2A77" w:rsidRDefault="004C2A77" w:rsidP="004C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реформування і розвитку житлово-комунального господарства Великосеверинівської сільської ради</w:t>
      </w:r>
    </w:p>
    <w:p w:rsidR="004C2A77" w:rsidRDefault="004C2A77" w:rsidP="004C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2023 роки</w:t>
      </w:r>
    </w:p>
    <w:p w:rsidR="004C2A77" w:rsidRPr="00F34EE9" w:rsidRDefault="004C2A77" w:rsidP="00F34EE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82C3A" w:rsidRPr="00A82C3A" w:rsidRDefault="003B2A52" w:rsidP="006059CB">
      <w:pPr>
        <w:widowControl w:val="0"/>
        <w:spacing w:after="0" w:line="240" w:lineRule="auto"/>
        <w:ind w:firstLine="567"/>
        <w:contextualSpacing/>
        <w:jc w:val="center"/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</w:pPr>
      <w:r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1.</w:t>
      </w:r>
      <w:r w:rsidR="00A82C3A" w:rsidRP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 xml:space="preserve">Визначення проблеми, на розв’язання якої спрямована </w:t>
      </w:r>
      <w:r w:rsid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П</w:t>
      </w:r>
      <w:r w:rsidR="00A82C3A" w:rsidRP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рограма</w:t>
      </w:r>
    </w:p>
    <w:p w:rsidR="00CB1079" w:rsidRPr="00CB1079" w:rsidRDefault="00CB1079" w:rsidP="003B2A52">
      <w:pPr>
        <w:pStyle w:val="7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107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До складу Великосеверинівської сільської ради входить 11 сіл, а саме: Велика Северинка, Лозуватка, Підгайці, Кандаурове, Оситняжка, Високі Байраки, Андросове, Червоний Кут, Рожнятівка, Созонівка та Петрове. </w:t>
      </w:r>
    </w:p>
    <w:p w:rsidR="00CB1079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1079">
        <w:rPr>
          <w:rFonts w:ascii="Times New Roman" w:hAnsi="Times New Roman" w:cs="Times New Roman"/>
          <w:sz w:val="28"/>
          <w:szCs w:val="28"/>
          <w:lang w:val="uk-UA"/>
        </w:rPr>
        <w:t>Нинішній стан житлово-комунального господарства об’єднаної громади свідчить про необхідність реформування цієї галузі.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Дана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розроблена з метою підвищення ефективності та надійності функціонування </w:t>
      </w:r>
      <w:r w:rsidR="00CB1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ЖКП «Прометей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B1079" w:rsidRPr="00CB1079">
        <w:rPr>
          <w:rFonts w:ascii="Times New Roman" w:hAnsi="Times New Roman" w:cs="Times New Roman"/>
          <w:sz w:val="28"/>
          <w:szCs w:val="28"/>
          <w:lang w:val="uk-UA"/>
        </w:rPr>
        <w:t xml:space="preserve"> ЖКП «Байраки-Будівництво» та </w:t>
      </w:r>
      <w:proofErr w:type="spellStart"/>
      <w:r w:rsidR="00CB1079" w:rsidRPr="00CB107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B1079" w:rsidRPr="00CB1079">
        <w:rPr>
          <w:rFonts w:ascii="Times New Roman" w:hAnsi="Times New Roman" w:cs="Times New Roman"/>
          <w:sz w:val="28"/>
          <w:szCs w:val="28"/>
          <w:lang w:val="uk-UA"/>
        </w:rPr>
        <w:t xml:space="preserve"> «Созонівський комунальник»</w:t>
      </w:r>
      <w:bookmarkStart w:id="0" w:name="_GoBack"/>
      <w:bookmarkEnd w:id="0"/>
      <w:r w:rsidR="00434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поліпшення якості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 з одночасним зниженням нераціональних витрат. 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Програми передбачає: 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ринку житлово-комунальних послуг, удосконалення тарифної політики; 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2)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ефективної інвестиційної політики в галузі житлово-комунального господарства; 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3)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запровадження стимулів до економного і раціонального господарювання та використання ресурсів; </w:t>
      </w:r>
    </w:p>
    <w:p w:rsidR="00A82C3A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4)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прозорість у прийнятті рішень щодо реформування житлово-комунального господарства, розвитку комунальних послуг та встановлення тарифів на них, залучення громадськості до проведення цих заходів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82C3A" w:rsidRPr="004472CD" w:rsidRDefault="003B2A52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</w:t>
      </w:r>
      <w:r w:rsidR="00A82C3A"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доступність житлово-комунальних послуг для громадян з низьким рівнем доходів, адресний соціальний захист населення в оплаті послуг. </w:t>
      </w:r>
    </w:p>
    <w:p w:rsidR="00A82C3A" w:rsidRPr="004472CD" w:rsidRDefault="00A82C3A" w:rsidP="006059CB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69D3" w:rsidRPr="005E69D3" w:rsidRDefault="005E51B1" w:rsidP="006059CB">
      <w:pPr>
        <w:pStyle w:val="41"/>
        <w:shd w:val="clear" w:color="auto" w:fill="auto"/>
        <w:spacing w:after="0" w:line="280" w:lineRule="exac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5E69D3" w:rsidRPr="005E69D3">
        <w:rPr>
          <w:sz w:val="28"/>
          <w:szCs w:val="28"/>
          <w:lang w:eastAsia="ru-RU"/>
        </w:rPr>
        <w:t>Сучасний стан житлово-комунального господарства</w:t>
      </w:r>
      <w:r>
        <w:rPr>
          <w:sz w:val="28"/>
          <w:szCs w:val="28"/>
          <w:lang w:eastAsia="ru-RU"/>
        </w:rPr>
        <w:t>Великосеверинівської сільської</w:t>
      </w:r>
      <w:r w:rsidR="00AE5F9A">
        <w:rPr>
          <w:sz w:val="28"/>
          <w:szCs w:val="28"/>
          <w:lang w:eastAsia="ru-RU"/>
        </w:rPr>
        <w:t xml:space="preserve"> територіальної громади</w:t>
      </w:r>
    </w:p>
    <w:p w:rsidR="005E51B1" w:rsidRDefault="005E51B1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3" w:rsidRPr="005E69D3" w:rsidRDefault="005E51B1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Житлово-комунальне господарство, як основа соціальної сфери життя </w:t>
      </w:r>
      <w:r w:rsid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 громадянина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є однією з найменш сучасно оснащених галузей господарства. Кризові явища в суспільстві та залишковий принцип фінансування галузі призвели до подальшого суттєвого загострення її проблем. Ситуація в житлово-комунальному господарстві</w:t>
      </w:r>
      <w:r w:rsid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продовжує ускладнюватися, відсутні позитивні зміни у становленні ринкових засад господарювання, розвитку конкуренції. Нестача власних та бюджетних фінансових ресурсів, відсутність дієвого механізму залучення позабюджетних коштів не сприяють вирішенню завдань з технічного переоснащення </w:t>
      </w:r>
      <w:r>
        <w:rPr>
          <w:rFonts w:ascii="Times New Roman" w:hAnsi="Times New Roman" w:cs="Times New Roman"/>
          <w:sz w:val="28"/>
          <w:szCs w:val="28"/>
        </w:rPr>
        <w:t>ЖКП «Прометей»</w:t>
      </w:r>
      <w:r w:rsidRPr="00447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ЖКП «Байраки-Будівництво»,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B10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B1079">
        <w:rPr>
          <w:rFonts w:ascii="Times New Roman" w:hAnsi="Times New Roman" w:cs="Times New Roman"/>
          <w:sz w:val="28"/>
          <w:szCs w:val="28"/>
        </w:rPr>
        <w:t xml:space="preserve"> «Созонівський комунальник»</w:t>
      </w:r>
      <w:r w:rsidR="0043405B">
        <w:rPr>
          <w:rFonts w:ascii="Times New Roman" w:hAnsi="Times New Roman" w:cs="Times New Roman"/>
          <w:sz w:val="28"/>
          <w:szCs w:val="28"/>
        </w:rPr>
        <w:t xml:space="preserve"> 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розвитку комунальної інфраструктури.</w:t>
      </w:r>
    </w:p>
    <w:p w:rsidR="005E69D3" w:rsidRPr="005E69D3" w:rsidRDefault="005E69D3" w:rsidP="0060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3" w:rsidRPr="005E51B1" w:rsidRDefault="005E51B1" w:rsidP="005E5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E69D3"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 фонд</w:t>
      </w:r>
    </w:p>
    <w:p w:rsidR="006059CB" w:rsidRDefault="00296922" w:rsidP="0060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Багатоквартирний ж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итловий фонд на території </w:t>
      </w:r>
      <w:r w:rsidR="0060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Великосеверинівської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радиналічує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будинки, з яких</w:t>
      </w:r>
      <w:r w:rsidR="0060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балансі 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</w:t>
      </w:r>
      <w:r w:rsidR="0060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знаходиться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житлових будинків.</w:t>
      </w:r>
    </w:p>
    <w:p w:rsidR="00BA231A" w:rsidRDefault="00BA231A" w:rsidP="0060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Інші будинки знаходяться на балансі 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 та передані </w:t>
      </w:r>
      <w:r w:rsidR="000B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співвласників багатоквартирних будинків (далі – ОСББ)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36C" w:rsidRDefault="006059CB" w:rsidP="00A1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житла у приватну власність громадян з балансів господарюючих структур призвела до спільного володіння власниками багатоквартирних житлових будинків нежилими приміщеннями та загальними конструкціями будівель.</w:t>
      </w:r>
    </w:p>
    <w:p w:rsidR="00A105DE" w:rsidRDefault="00A105DE" w:rsidP="00A1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Капітальні ремонти в таких будинках не проводяться у зв’язку з відсутністю коштів у мешканців цих будинків та можливості надання фінансової підтримки за рахунок бюджетних коштів. 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сучасних умовах ринкових стосунків таке житло стає аварійним.</w:t>
      </w:r>
    </w:p>
    <w:p w:rsidR="00A105DE" w:rsidRPr="005E69D3" w:rsidRDefault="00A105DE" w:rsidP="00A1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Альтернативним варіантом утримання і експлуатації житла, а також реалізації права громадян щодо їх участі у місцевому самоврядуванні є створення </w:t>
      </w:r>
      <w:r w:rsidR="000B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ОСББ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суб'єктів підприємницької діяльності, як фізичних так і юридичних осіб. </w:t>
      </w:r>
    </w:p>
    <w:p w:rsidR="00BA231A" w:rsidRDefault="00A105DE" w:rsidP="0060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даний час на території Великосеверинівської </w:t>
      </w:r>
      <w:r w:rsidR="000B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</w:t>
      </w:r>
      <w:r w:rsidR="00AF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створено: 9ОСББ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 громадське об’єднання для утримання та управління багатоквартирного будинку.</w:t>
      </w:r>
    </w:p>
    <w:p w:rsidR="005E69D3" w:rsidRPr="005E69D3" w:rsidRDefault="005E69D3" w:rsidP="005E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1B1" w:rsidRDefault="005E69D3" w:rsidP="005E5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105DE"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 і водовідведення</w:t>
      </w:r>
      <w:r w:rsid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E86" w:rsidRPr="00CB1079" w:rsidRDefault="00AF2E86" w:rsidP="00AF2E86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0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Водопостачання населених пунктів сільської ради здійснюється з відкритих та підземних водозаборів. </w:t>
      </w:r>
    </w:p>
    <w:p w:rsidR="00AF2E86" w:rsidRPr="00CB1079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079">
        <w:rPr>
          <w:rFonts w:ascii="Times New Roman" w:hAnsi="Times New Roman" w:cs="Times New Roman"/>
          <w:color w:val="auto"/>
          <w:sz w:val="28"/>
          <w:szCs w:val="28"/>
        </w:rPr>
        <w:t>Із 11 населених пунктів сільської ради, централізованим водопостачанням забезпечена частина населення села Підгайці</w:t>
      </w:r>
      <w:r w:rsidR="004C2A77" w:rsidRPr="00CB1079">
        <w:rPr>
          <w:rFonts w:ascii="Times New Roman" w:hAnsi="Times New Roman" w:cs="Times New Roman"/>
          <w:color w:val="auto"/>
          <w:sz w:val="28"/>
          <w:szCs w:val="28"/>
        </w:rPr>
        <w:t>, Високі Байраки</w:t>
      </w:r>
      <w:r w:rsidRPr="00CB1079">
        <w:rPr>
          <w:rFonts w:ascii="Times New Roman" w:hAnsi="Times New Roman" w:cs="Times New Roman"/>
          <w:color w:val="auto"/>
          <w:sz w:val="28"/>
          <w:szCs w:val="28"/>
        </w:rPr>
        <w:t xml:space="preserve"> та Созонівка де послуги з централізованого водопостачання надає ОКВП «Дніпро-Кіровоград»</w:t>
      </w:r>
      <w:r w:rsidR="004C2A77" w:rsidRPr="00CB1079">
        <w:rPr>
          <w:rFonts w:ascii="Times New Roman" w:hAnsi="Times New Roman" w:cs="Times New Roman"/>
          <w:color w:val="auto"/>
          <w:sz w:val="28"/>
          <w:szCs w:val="28"/>
        </w:rPr>
        <w:t>, ЖКП «Байраки-Будівництво»</w:t>
      </w:r>
      <w:r w:rsidRPr="00CB107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CB1079">
        <w:rPr>
          <w:rFonts w:ascii="Times New Roman" w:hAnsi="Times New Roman" w:cs="Times New Roman"/>
          <w:color w:val="auto"/>
          <w:sz w:val="28"/>
          <w:szCs w:val="28"/>
        </w:rPr>
        <w:t>КП</w:t>
      </w:r>
      <w:proofErr w:type="spellEnd"/>
      <w:r w:rsidRPr="00CB1079">
        <w:rPr>
          <w:rFonts w:ascii="Times New Roman" w:hAnsi="Times New Roman" w:cs="Times New Roman"/>
          <w:color w:val="auto"/>
          <w:sz w:val="28"/>
          <w:szCs w:val="28"/>
        </w:rPr>
        <w:t xml:space="preserve"> «Созонівський комунальник». Мешканці інших 8 сіл користуються водою, для господарчо-питних потреб, з колодязів загального користування та приватних</w:t>
      </w:r>
      <w:r w:rsidR="005E51B1">
        <w:rPr>
          <w:rFonts w:ascii="Times New Roman" w:hAnsi="Times New Roman" w:cs="Times New Roman"/>
          <w:color w:val="auto"/>
          <w:sz w:val="28"/>
          <w:szCs w:val="28"/>
        </w:rPr>
        <w:t xml:space="preserve"> колодязів</w:t>
      </w:r>
      <w:r w:rsidRPr="00CB10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F2E86" w:rsidRPr="00AF2E86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>Протяжність водопровідних мереж складає 20,0 км, з яких:</w:t>
      </w:r>
    </w:p>
    <w:p w:rsidR="00AF2E86" w:rsidRPr="00AF2E86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>-діючих – 16,7 км;</w:t>
      </w:r>
    </w:p>
    <w:p w:rsidR="00AF2E86" w:rsidRPr="00AF2E86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>- не діючих – 3,3 км.</w:t>
      </w:r>
    </w:p>
    <w:p w:rsidR="00AF2E86" w:rsidRPr="00AF2E86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 xml:space="preserve">Всі мережі зношені та потребують заміни. </w:t>
      </w:r>
    </w:p>
    <w:p w:rsidR="00AF2E86" w:rsidRPr="00AF2E86" w:rsidRDefault="00AF2E86" w:rsidP="00AF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>На території Великосеверинівської сільської ради знаходиться:</w:t>
      </w:r>
    </w:p>
    <w:p w:rsidR="00AF2E86" w:rsidRPr="00AF2E86" w:rsidRDefault="005E51B1" w:rsidP="00AF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E86" w:rsidRPr="00AF2E86">
        <w:rPr>
          <w:rFonts w:ascii="Times New Roman" w:hAnsi="Times New Roman" w:cs="Times New Roman"/>
          <w:sz w:val="28"/>
          <w:szCs w:val="28"/>
        </w:rPr>
        <w:t>8 водозабірних свердловин, з яких 5  знаходяться в несправному стані та не експлуатуються;</w:t>
      </w:r>
    </w:p>
    <w:p w:rsidR="00AF2E86" w:rsidRPr="00AF2E86" w:rsidRDefault="005E51B1" w:rsidP="00AF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E86" w:rsidRPr="00AF2E86">
        <w:rPr>
          <w:rFonts w:ascii="Times New Roman" w:hAnsi="Times New Roman" w:cs="Times New Roman"/>
          <w:sz w:val="28"/>
          <w:szCs w:val="28"/>
        </w:rPr>
        <w:t>131 колодязі загального користування, з них 111 шт. знаходяться в занедбаному стані і потребують очищення, дезінфекції, ремонту та впорядкування прилеглої території.</w:t>
      </w:r>
    </w:p>
    <w:p w:rsidR="0063044D" w:rsidRDefault="00A105DE" w:rsidP="005E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питною водою </w:t>
      </w:r>
      <w:r w:rsidR="00D800A2">
        <w:rPr>
          <w:rFonts w:ascii="Times New Roman" w:eastAsia="Times New Roman" w:hAnsi="Times New Roman" w:cs="Times New Roman"/>
          <w:sz w:val="28"/>
          <w:szCs w:val="28"/>
          <w:lang w:eastAsia="ru-RU"/>
        </w:rPr>
        <w:t>є однією з пріори</w:t>
      </w:r>
      <w:r w:rsidR="00630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тетних проблем, розв’язання яких необхідно для збереження здоров’я, поліпшення умов діяльності і підвищення рівня життя населення.</w:t>
      </w:r>
    </w:p>
    <w:p w:rsidR="00C91B41" w:rsidRDefault="0093796B" w:rsidP="005E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 стан водопровідного господарства характеризується дефіцитом фінансових ресурсів, необхідних для належної експлуатації та обслуговування системи водопостачання, недосконалістю управлінської діяльності та відсутністю прогнозованих</w:t>
      </w:r>
      <w:r w:rsidR="00C9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економічних показників щодо </w:t>
      </w:r>
    </w:p>
    <w:p w:rsidR="0093796B" w:rsidRDefault="0093796B" w:rsidP="005E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ефективності її використання.</w:t>
      </w:r>
    </w:p>
    <w:p w:rsidR="0093796B" w:rsidRDefault="0093796B" w:rsidP="005E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 з водопостачанням сільських населених пунктів вкрай незадовільна</w:t>
      </w:r>
      <w:r w:rsidR="00D6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0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 користується водою із шахтних та трубчатих колодязів, які забруднюються фільтруючими поверхневими водами.</w:t>
      </w:r>
    </w:p>
    <w:p w:rsidR="005E69D3" w:rsidRPr="005E69D3" w:rsidRDefault="005E69D3" w:rsidP="000A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Внаслідок цього виникла гостра потреба в 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 населення високоякісною питною водою</w:t>
      </w:r>
      <w:r w:rsidR="000A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шляхом проведення капітального ремонту системи водо</w:t>
      </w:r>
      <w:r w:rsidR="009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постачання в с. Підгайці, с. Созон</w:t>
      </w:r>
      <w:r w:rsidR="004340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та с. Високі Байраки</w:t>
      </w:r>
      <w:r w:rsidR="000A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встановлення засобів обліку для забезпечення ощадливого споживання води. А також </w:t>
      </w:r>
      <w:r w:rsidR="009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громадських колодязів</w:t>
      </w:r>
      <w:r w:rsidR="000A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належний стан.</w:t>
      </w:r>
    </w:p>
    <w:p w:rsidR="005E69D3" w:rsidRPr="005E69D3" w:rsidRDefault="005E69D3" w:rsidP="005E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3" w:rsidRPr="005E51B1" w:rsidRDefault="000A02E3" w:rsidP="005E51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E69D3"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E6E" w:rsidRPr="005E51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Комунальне господарство та благоустрій</w:t>
      </w:r>
      <w:r w:rsidRPr="005E51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населених пунктів </w:t>
      </w:r>
    </w:p>
    <w:p w:rsidR="0093571D" w:rsidRDefault="00101E6E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Рівень благоустрою населених пунктів та технічний стан його елементів  сільської ради не відповідає сучасним вимогам в зв’язку</w:t>
      </w:r>
      <w:r w:rsidR="009357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 недостатнім фінансуванням</w:t>
      </w:r>
      <w:r w:rsidR="008345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AE5F9A" w:rsidRPr="00AE5F9A" w:rsidRDefault="008345C3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Відсутній чіткий план дій та розвитку </w:t>
      </w:r>
      <w:r w:rsidR="009E3A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</w:t>
      </w:r>
      <w:r w:rsidR="009357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итлово-комунального господарства</w:t>
      </w:r>
      <w:r w:rsidR="009E3A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</w:t>
      </w:r>
      <w:r w:rsidR="009E3AE8"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 до кінця вирішене питання модернізації обладнання існуючої мережі зовнішнього освітлення, перехід до сучасних енергоощадних технологій. </w:t>
      </w:r>
      <w:r w:rsidR="00AE5F9A" w:rsidRPr="00AE5F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Протягом тривалого часу через недостатнє фінансування не здійснювався належний ремонт доріг, не витримувалися міжремонтні терміни, тому значна кількість доріг знаходиться в незадовільному технічному стані. </w:t>
      </w:r>
    </w:p>
    <w:p w:rsidR="007C5B19" w:rsidRDefault="009E3AE8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Видалення дерев, що досягли вікової межі, аварійних та фаутних дерев а також відновлення зелених насаджень не носить системного характеру. Існує потреба у влаштуванні парків, скверів, розширенні зелених зон та місць для відпочинку громадян.</w:t>
      </w:r>
    </w:p>
    <w:p w:rsidR="007C5B19" w:rsidRPr="005E51B1" w:rsidRDefault="007C5B19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території Великосеверинівської сільської ради розташовано 20 кладовищ, з яких 5 кладовищ заповнені та підлягають закриттю. </w:t>
      </w:r>
    </w:p>
    <w:p w:rsidR="00AE5F9A" w:rsidRDefault="007C5B19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Окремої уваги потребує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санітарний </w:t>
      </w: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територій кладовищ та стан</w:t>
      </w: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під’їзних шляхів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них</w:t>
      </w: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E51B1" w:rsidRDefault="005E51B1" w:rsidP="00E834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F9A" w:rsidRPr="005E51B1" w:rsidRDefault="005E51B1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5F9A"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Програми та основні завдання реформування житлово-комунального господарства об’єднаної громади</w:t>
      </w: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F9A" w:rsidRPr="00AE5F9A" w:rsidRDefault="005E51B1" w:rsidP="005E51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Програми полягає у визначенні засад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 державної політики реформування житлово-комунального господарства, здійснення заходів щодо підвищення ефективності та надійності його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функціонування, забезпечення сталого розвитку для 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населення і відповідно до встановлених нормативів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національних стандартів.</w:t>
      </w:r>
    </w:p>
    <w:p w:rsidR="00AE5F9A" w:rsidRDefault="005E51B1" w:rsidP="005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досягнення мети реформування галузі необхідно вирішити питання щодо:</w:t>
      </w:r>
    </w:p>
    <w:p w:rsidR="00D216D2" w:rsidRDefault="00D216D2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1)розроблення довгострокового плану благоустрою території;</w:t>
      </w:r>
    </w:p>
    <w:p w:rsidR="00D216D2" w:rsidRDefault="00D216D2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2)розроблення методики визначення нормативів фінансування витрат, пов’язаних з ремонтними та іншими господарськими роботами, які необхідно провести на території Великосеверинівської сільської ради;</w:t>
      </w:r>
    </w:p>
    <w:p w:rsidR="00D216D2" w:rsidRDefault="00D216D2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3)розроблення Програми пов’язаної з утриманням та ремонтом доріг;</w:t>
      </w:r>
    </w:p>
    <w:p w:rsidR="00D216D2" w:rsidRDefault="00A4656B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21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Програми</w:t>
      </w:r>
      <w:r w:rsidR="00E8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енергоефективності та заощадливого споживання;</w:t>
      </w:r>
    </w:p>
    <w:p w:rsidR="00AE5F9A" w:rsidRPr="00AE5F9A" w:rsidRDefault="00E834C4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216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1" w:name="33"/>
      <w:bookmarkStart w:id="2" w:name="34"/>
      <w:bookmarkEnd w:id="1"/>
      <w:bookmarkEnd w:id="2"/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умов для </w:t>
      </w:r>
      <w:r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споживачів, підвищення рівня забезпеченості населення житлово-комунальними послугами в необхідних обсягах, високої якості та за доступними цінами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56B" w:rsidRDefault="00E834C4" w:rsidP="00E83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35"/>
      <w:bookmarkStart w:id="4" w:name="41"/>
      <w:bookmarkStart w:id="5" w:name="42"/>
      <w:bookmarkEnd w:id="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 якості управління комунальною інфраструктурою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F9A" w:rsidRPr="00AE5F9A" w:rsidRDefault="005E51B1" w:rsidP="00E83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)створення 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 для розвитку, оновлення та ефективного функціонування всіх об'єктів </w:t>
      </w:r>
      <w:r w:rsidR="00E8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підприємств і ор</w:t>
      </w:r>
      <w:r w:rsidR="00E8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ганізацій різних форм власності.</w:t>
      </w:r>
    </w:p>
    <w:p w:rsidR="00AE5F9A" w:rsidRPr="00AE5F9A" w:rsidRDefault="00AE5F9A" w:rsidP="00AE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43"/>
      <w:bookmarkEnd w:id="6"/>
    </w:p>
    <w:p w:rsidR="0015669E" w:rsidRPr="00A82C3A" w:rsidRDefault="0035082C" w:rsidP="0015669E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bookmarkStart w:id="7" w:name="50"/>
      <w:bookmarkStart w:id="8" w:name="51"/>
      <w:bookmarkStart w:id="9" w:name="52"/>
      <w:bookmarkStart w:id="10" w:name="53"/>
      <w:bookmarkStart w:id="11" w:name="57"/>
      <w:bookmarkStart w:id="12" w:name="58"/>
      <w:bookmarkEnd w:id="7"/>
      <w:bookmarkEnd w:id="8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3</w:t>
      </w:r>
      <w:r w:rsidR="0015669E" w:rsidRPr="00A82C3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 xml:space="preserve">.Заходи по забезпеченню виконання </w:t>
      </w:r>
      <w:r w:rsidR="00D64DC1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П</w:t>
      </w:r>
      <w:r w:rsidR="0015669E" w:rsidRPr="00A82C3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 xml:space="preserve">рограми </w:t>
      </w:r>
    </w:p>
    <w:p w:rsidR="00DE41CD" w:rsidRPr="00DE41CD" w:rsidRDefault="00DE41CD" w:rsidP="00DE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заходами</w:t>
      </w: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є :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системи управління 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житлово-комунальним</w:t>
      </w:r>
      <w:r w:rsid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r w:rsid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беззбитк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функці</w:t>
      </w:r>
      <w:r w:rsid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онування ЖКП 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прозорій економічно обґрунтованій системі визначення рівня тарифів на послуги; 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ефективності використання енергетичних та матеріальних ресурсів; </w:t>
      </w:r>
    </w:p>
    <w:p w:rsidR="0015669E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технічне переоснащення житлово-комунального господарства,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</w:t>
      </w:r>
      <w:r w:rsidR="00D64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господарської техніки, машин та механізмів;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комплексний благоустрій території </w:t>
      </w:r>
      <w:r w:rsid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громади</w:t>
      </w:r>
      <w:r w:rsidR="00DE41CD" w:rsidRPr="00DE41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запровадження енергозберігаючих технологій і засобів управління зовнішнім освітленням, </w:t>
      </w:r>
      <w:r w:rsid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оновлення</w:t>
      </w:r>
      <w:r w:rsidR="00DE41CD" w:rsidRPr="00DE41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зелених насаджень, запровадження передової техніки і технологій, направлених на підвищення якості робіт, економію матеріалів, коштів, енергоресурсів. 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залучення інвестицій і співпраця з донорськими організаціями; 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громадськості до процесів формування та реформування житлово-комунального господарства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шляхом їх участі у громадському проекті: написанні відповідних проектів та внесення ініціатив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69E" w:rsidRPr="0015669E" w:rsidRDefault="0015669E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управління повинна об'єднати зусилля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ЖКП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реформування та ефективного функціонування галузі в умовах ринкової економіки. </w:t>
      </w:r>
    </w:p>
    <w:p w:rsidR="0035082C" w:rsidRPr="0015669E" w:rsidRDefault="00D25146" w:rsidP="0035082C">
      <w:pPr>
        <w:widowControl w:val="0"/>
        <w:spacing w:after="124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ершочерговими заходами реформування галузі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і затвердження тарифів на відповідні житлово-комунальні послуги, які мають надаватись ЖКП, визначення першочергового обсягу робіт, залучення кваліфікованих робітничих кадрів, інформування громадськості про можливість користування послугами житлово-комунального підприємства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1 до програми)</w:t>
      </w:r>
      <w:r w:rsidR="0035082C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1A4D" w:rsidRDefault="0015669E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Ефективне управління діяльністю 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ЖКП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потребує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A4D" w:rsidRDefault="00981A4D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розроблення виробничої та інвестиційної програм, формування та встановлення тарифів як засобу фінансового забезпечення цих програм; </w:t>
      </w:r>
    </w:p>
    <w:p w:rsidR="0015669E" w:rsidRPr="0015669E" w:rsidRDefault="00981A4D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 моніторингу діяльності підприємств, що дасть можливість виконавчому комітету реалізувати свої повноваження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галузі житлово-комунального господарства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69E" w:rsidRPr="0015669E" w:rsidRDefault="0015669E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Вироблення гнучкої та ефективної тарифної політики 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ЖКП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сучасному етапі реформування житлово-комунального господарства повинно ґрунтуватися на таких основних принципах: </w:t>
      </w:r>
    </w:p>
    <w:p w:rsidR="0015669E" w:rsidRPr="0015669E" w:rsidRDefault="0015669E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-розрахунку тарифів на послуги, що підлягають регулюванню, для забезпечення повного відшкодування операційних та капітальних витрат; </w:t>
      </w:r>
    </w:p>
    <w:p w:rsidR="0015669E" w:rsidRPr="0015669E" w:rsidRDefault="0015669E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-залученням громадськості до процесу встановлення тарифів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проведення відповідних інформаційно-роз’яснювальних кампаній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82C" w:rsidRDefault="0035082C" w:rsidP="00D64DC1">
      <w:pPr>
        <w:widowControl w:val="0"/>
        <w:spacing w:after="1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DC1" w:rsidRPr="00D64DC1" w:rsidRDefault="0035082C" w:rsidP="00D64DC1">
      <w:pPr>
        <w:widowControl w:val="0"/>
        <w:spacing w:after="1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5.Ресурсне забезпечення реалізації </w:t>
      </w:r>
      <w:r w:rsidR="00D64DC1" w:rsidRPr="00D6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</w:p>
    <w:p w:rsidR="0015669E" w:rsidRPr="0015669E" w:rsidRDefault="0015669E" w:rsidP="0035082C">
      <w:pPr>
        <w:widowControl w:val="0"/>
        <w:spacing w:after="124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Програми здійснюється за рахунок коштів: Державного бюджету,бюджету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Великосеверинівської сільської територіальної громади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коштів підприємств,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 та організацій всіх форм власності,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джерел, не заборонених 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69E" w:rsidRPr="0015669E" w:rsidRDefault="0015669E" w:rsidP="00D6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63" w:rsidRPr="00A82C3A" w:rsidRDefault="00AE5F63" w:rsidP="00AE5F63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C5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55066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.</w:t>
      </w:r>
      <w:r w:rsidRPr="00A82C3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Очікувані результати</w:t>
      </w:r>
    </w:p>
    <w:p w:rsidR="0015669E" w:rsidRPr="0015669E" w:rsidRDefault="0015669E" w:rsidP="00350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умовою реалізації Програми є консолідація та спрямування дій 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виконавчого комітету, житлово-комунальн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створення дієвої системи управління та сприятливого середовища для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ефективного результату роботи.</w:t>
      </w:r>
    </w:p>
    <w:p w:rsidR="0015669E" w:rsidRPr="0015669E" w:rsidRDefault="0015669E" w:rsidP="00350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дасть можливість: 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реалізацію державної політики щодо регіонального розвитку, насамперед у сфері житлово-комунального господарства; 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сприятливі умови для накопичення ресурсів з метою технічного переоснащення підприємств та розвитку комунальноїінфраструктури; </w:t>
      </w:r>
    </w:p>
    <w:p w:rsidR="00C55066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сприятливі умови для залучення 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додаткових 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 у розвиток об'єктів житлово-комунального господарства та ефективний механізм подальшого його реформування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поступов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відновлення сфери благоустрою території та впорядкування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комунально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ї власності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умовах фінансування з 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інших джерел, незаборонених 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E5F63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сталу та ефективну роботу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 підприємств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надання населенню 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 з поточних видів ремонтних робіт та робіт по благоустрою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прозорість у формуванні тарифної та цінової політики на послуги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підприємства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69E" w:rsidRPr="0015669E" w:rsidRDefault="0015669E" w:rsidP="001566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C55066" w:rsidRPr="00A82C3A" w:rsidRDefault="00CD3398" w:rsidP="00C55066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</w:rPr>
        <w:t>7</w:t>
      </w:r>
      <w:r w:rsidR="00C55066" w:rsidRPr="00A82C3A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</w:rPr>
        <w:t>.</w:t>
      </w:r>
      <w:r w:rsidR="00C55066" w:rsidRPr="00A82C3A"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  <w:t xml:space="preserve"> Координація та контроль за реалізацією </w:t>
      </w:r>
      <w:r w:rsidR="00C55066"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  <w:t>П</w:t>
      </w:r>
      <w:r w:rsidR="00C55066" w:rsidRPr="00A82C3A"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  <w:t>рограми</w:t>
      </w:r>
    </w:p>
    <w:p w:rsidR="00C55066" w:rsidRPr="0081759A" w:rsidRDefault="0035082C" w:rsidP="00C5506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П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 здійснюється виконавчим комітетом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та </w:t>
      </w:r>
      <w:r w:rsidR="00C55066"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постійн</w:t>
      </w:r>
      <w:r w:rsidR="00C55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ою</w:t>
      </w:r>
      <w:r w:rsidR="00C55066"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депутатськ</w:t>
      </w:r>
      <w:r w:rsidR="00C55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ою</w:t>
      </w:r>
      <w:r w:rsidR="00C55066"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комісі</w:t>
      </w:r>
      <w:r w:rsidR="00C55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єю</w:t>
      </w:r>
      <w:r w:rsidR="00C55066" w:rsidRPr="0081759A">
        <w:rPr>
          <w:rFonts w:ascii="Times New Roman" w:hAnsi="Times New Roman" w:cs="Times New Roman"/>
          <w:sz w:val="28"/>
          <w:szCs w:val="28"/>
        </w:rPr>
        <w:t>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E5F63" w:rsidRPr="0015669E" w:rsidRDefault="0035082C" w:rsidP="00AE5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Щорічно до 10 грудня </w:t>
      </w:r>
      <w:r w:rsidR="00981A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ідділ </w:t>
      </w:r>
      <w:r w:rsidR="00981A4D" w:rsidRPr="00981A4D">
        <w:rPr>
          <w:rFonts w:ascii="Times New Roman" w:hAnsi="Times New Roman"/>
          <w:sz w:val="28"/>
          <w:szCs w:val="28"/>
        </w:rPr>
        <w:t>земельних  відносин, комунальної власності, житлово–комунального господарства, інфраструктури та економічного розвитку Великосеверинівської сільської ради</w:t>
      </w:r>
      <w:r w:rsidR="00AE5F63" w:rsidRP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виконання Програми та запланованих щорічних заходів щодо реалізації її положень на сесії 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та </w:t>
      </w:r>
      <w:r w:rsidR="0046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офіційному сайті сільської ради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5F63" w:rsidRPr="0015669E" w:rsidRDefault="00AE5F63" w:rsidP="00AE5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27" w:rsidRDefault="0035082C" w:rsidP="00D6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</w:t>
      </w:r>
    </w:p>
    <w:p w:rsidR="00246327" w:rsidRDefault="00246327" w:rsidP="00D6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327" w:rsidRDefault="00246327" w:rsidP="00D6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46327" w:rsidSect="00D64DC1">
          <w:headerReference w:type="even" r:id="rId7"/>
          <w:headerReference w:type="default" r:id="rId8"/>
          <w:pgSz w:w="11906" w:h="16838"/>
          <w:pgMar w:top="142" w:right="850" w:bottom="1134" w:left="1701" w:header="227" w:footer="227" w:gutter="0"/>
          <w:pgNumType w:start="1"/>
          <w:cols w:space="720"/>
          <w:titlePg/>
          <w:docGrid w:linePitch="299"/>
        </w:sectPr>
      </w:pPr>
    </w:p>
    <w:p w:rsidR="00246327" w:rsidRPr="00246327" w:rsidRDefault="00246327" w:rsidP="0035082C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246327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35082C">
        <w:rPr>
          <w:rFonts w:ascii="Times New Roman" w:hAnsi="Times New Roman" w:cs="Times New Roman"/>
          <w:sz w:val="24"/>
          <w:szCs w:val="24"/>
        </w:rPr>
        <w:t>1</w:t>
      </w:r>
      <w:r w:rsidRPr="00246327">
        <w:rPr>
          <w:rFonts w:ascii="Times New Roman" w:hAnsi="Times New Roman" w:cs="Times New Roman"/>
          <w:sz w:val="24"/>
          <w:szCs w:val="24"/>
        </w:rPr>
        <w:t xml:space="preserve"> до </w:t>
      </w:r>
      <w:r w:rsidR="0035082C">
        <w:rPr>
          <w:rFonts w:ascii="Times New Roman" w:hAnsi="Times New Roman" w:cs="Times New Roman"/>
          <w:sz w:val="24"/>
          <w:szCs w:val="24"/>
        </w:rPr>
        <w:t>програми</w:t>
      </w:r>
    </w:p>
    <w:p w:rsidR="00246327" w:rsidRPr="00246327" w:rsidRDefault="00246327" w:rsidP="0024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27">
        <w:rPr>
          <w:rFonts w:ascii="Times New Roman" w:hAnsi="Times New Roman" w:cs="Times New Roman"/>
          <w:b/>
          <w:sz w:val="24"/>
          <w:szCs w:val="24"/>
        </w:rPr>
        <w:t xml:space="preserve">ПЛАН ЗАХОДІВ </w:t>
      </w:r>
    </w:p>
    <w:p w:rsidR="0035082C" w:rsidRDefault="0035082C" w:rsidP="0024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реалізації програми «Р</w:t>
      </w:r>
      <w:r w:rsidR="00246327" w:rsidRPr="00246327">
        <w:rPr>
          <w:rFonts w:ascii="Times New Roman" w:hAnsi="Times New Roman" w:cs="Times New Roman"/>
          <w:b/>
          <w:sz w:val="24"/>
          <w:szCs w:val="24"/>
        </w:rPr>
        <w:t xml:space="preserve">еформування і розвитку житлово-комунального господарства </w:t>
      </w:r>
    </w:p>
    <w:p w:rsidR="00246327" w:rsidRPr="00246327" w:rsidRDefault="00246327" w:rsidP="0024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27">
        <w:rPr>
          <w:rFonts w:ascii="Times New Roman" w:hAnsi="Times New Roman" w:cs="Times New Roman"/>
          <w:b/>
          <w:sz w:val="24"/>
          <w:szCs w:val="24"/>
        </w:rPr>
        <w:t>Великосеверинівської сільської радина 2021 – 2023 роки</w:t>
      </w:r>
      <w:r w:rsidR="0035082C">
        <w:rPr>
          <w:rFonts w:ascii="Times New Roman" w:hAnsi="Times New Roman" w:cs="Times New Roman"/>
          <w:b/>
          <w:sz w:val="24"/>
          <w:szCs w:val="24"/>
        </w:rPr>
        <w:t>»</w:t>
      </w:r>
    </w:p>
    <w:p w:rsidR="00246327" w:rsidRPr="0035082C" w:rsidRDefault="00246327" w:rsidP="0035082C">
      <w:pPr>
        <w:jc w:val="right"/>
        <w:rPr>
          <w:rFonts w:ascii="Times New Roman" w:hAnsi="Times New Roman" w:cs="Times New Roman"/>
          <w:sz w:val="24"/>
          <w:szCs w:val="24"/>
        </w:rPr>
      </w:pPr>
      <w:r w:rsidRPr="0035082C">
        <w:rPr>
          <w:rFonts w:ascii="Times New Roman" w:hAnsi="Times New Roman" w:cs="Times New Roman"/>
          <w:sz w:val="24"/>
          <w:szCs w:val="24"/>
        </w:rPr>
        <w:t>тис.грн.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925"/>
        <w:gridCol w:w="1273"/>
        <w:gridCol w:w="1377"/>
        <w:gridCol w:w="1532"/>
        <w:gridCol w:w="1377"/>
        <w:gridCol w:w="1688"/>
        <w:gridCol w:w="1377"/>
        <w:gridCol w:w="1269"/>
      </w:tblGrid>
      <w:tr w:rsidR="00246327" w:rsidRPr="00246327" w:rsidTr="0035082C">
        <w:tc>
          <w:tcPr>
            <w:tcW w:w="250" w:type="dxa"/>
            <w:vMerge w:val="restart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925" w:type="dxa"/>
            <w:vMerge w:val="restart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273" w:type="dxa"/>
            <w:vMerge w:val="restart"/>
          </w:tcPr>
          <w:p w:rsidR="00246327" w:rsidRPr="00246327" w:rsidRDefault="0035082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6327" w:rsidRPr="00246327">
              <w:rPr>
                <w:rFonts w:ascii="Times New Roman" w:hAnsi="Times New Roman" w:cs="Times New Roman"/>
                <w:sz w:val="24"/>
                <w:szCs w:val="24"/>
              </w:rPr>
              <w:t>агальна вартість</w:t>
            </w:r>
          </w:p>
        </w:tc>
        <w:tc>
          <w:tcPr>
            <w:tcW w:w="8620" w:type="dxa"/>
            <w:gridSpan w:val="6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Обсяг фінансування за рахунок коштів</w:t>
            </w:r>
          </w:p>
        </w:tc>
      </w:tr>
      <w:tr w:rsidR="00246327" w:rsidRPr="00246327" w:rsidTr="0035082C">
        <w:tc>
          <w:tcPr>
            <w:tcW w:w="250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65" w:type="dxa"/>
            <w:gridSpan w:val="2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46" w:type="dxa"/>
            <w:gridSpan w:val="2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46327" w:rsidRPr="00246327" w:rsidTr="0035082C">
        <w:trPr>
          <w:trHeight w:val="690"/>
        </w:trPr>
        <w:tc>
          <w:tcPr>
            <w:tcW w:w="250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46327" w:rsidRPr="00246327" w:rsidRDefault="00246327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Державного бюджету</w:t>
            </w:r>
          </w:p>
        </w:tc>
        <w:tc>
          <w:tcPr>
            <w:tcW w:w="1532" w:type="dxa"/>
          </w:tcPr>
          <w:p w:rsidR="00246327" w:rsidRPr="00246327" w:rsidRDefault="00246327" w:rsidP="0035082C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Місцевих бюджетів</w:t>
            </w:r>
          </w:p>
        </w:tc>
        <w:tc>
          <w:tcPr>
            <w:tcW w:w="1377" w:type="dxa"/>
          </w:tcPr>
          <w:p w:rsidR="00246327" w:rsidRPr="00246327" w:rsidRDefault="00246327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Державного бюджету</w:t>
            </w:r>
          </w:p>
        </w:tc>
        <w:tc>
          <w:tcPr>
            <w:tcW w:w="1688" w:type="dxa"/>
          </w:tcPr>
          <w:p w:rsidR="00246327" w:rsidRPr="00246327" w:rsidRDefault="00246327" w:rsidP="0035082C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Місцевих бюджетів</w:t>
            </w:r>
          </w:p>
        </w:tc>
        <w:tc>
          <w:tcPr>
            <w:tcW w:w="1377" w:type="dxa"/>
          </w:tcPr>
          <w:p w:rsidR="00246327" w:rsidRPr="00246327" w:rsidRDefault="00246327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Державного бюджету</w:t>
            </w:r>
          </w:p>
        </w:tc>
        <w:tc>
          <w:tcPr>
            <w:tcW w:w="1269" w:type="dxa"/>
          </w:tcPr>
          <w:p w:rsidR="00246327" w:rsidRPr="00246327" w:rsidRDefault="00246327" w:rsidP="0035082C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Місцевих бюджетів</w:t>
            </w:r>
          </w:p>
        </w:tc>
      </w:tr>
      <w:tr w:rsidR="00246327" w:rsidRPr="00246327" w:rsidTr="0035082C">
        <w:tc>
          <w:tcPr>
            <w:tcW w:w="250" w:type="dxa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246327" w:rsidRPr="00D318FC" w:rsidRDefault="00246327" w:rsidP="00A92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та утримання водопровідно-каналізаційного господарства</w:t>
            </w:r>
          </w:p>
        </w:tc>
        <w:tc>
          <w:tcPr>
            <w:tcW w:w="1273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25520,0</w:t>
            </w:r>
          </w:p>
        </w:tc>
        <w:tc>
          <w:tcPr>
            <w:tcW w:w="1377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532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377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377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269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D318FC" w:rsidRPr="00D318FC" w:rsidRDefault="00FD13F7" w:rsidP="00FD13F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Утримання та р</w:t>
            </w:r>
            <w:r w:rsidR="00D318FC" w:rsidRPr="00D318FC">
              <w:rPr>
                <w:rFonts w:ascii="Times New Roman" w:hAnsi="Times New Roman" w:cs="Times New Roman"/>
                <w:sz w:val="24"/>
                <w:szCs w:val="24"/>
              </w:rPr>
              <w:t>емонт доріг комунальної власності та встановлення дорожніх знаків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5" w:type="dxa"/>
          </w:tcPr>
          <w:p w:rsidR="00D318FC" w:rsidRPr="00D318FC" w:rsidRDefault="00496103" w:rsidP="0049610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Утримання  та  р</w:t>
            </w:r>
            <w:r w:rsidR="00D318FC" w:rsidRPr="00D318FC">
              <w:rPr>
                <w:rFonts w:ascii="Times New Roman" w:hAnsi="Times New Roman" w:cs="Times New Roman"/>
                <w:sz w:val="24"/>
                <w:szCs w:val="24"/>
              </w:rPr>
              <w:t>еконструкція мереж вуличного освітлення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5" w:type="dxa"/>
          </w:tcPr>
          <w:p w:rsidR="00D318FC" w:rsidRPr="00D318FC" w:rsidRDefault="00D318FC" w:rsidP="00A9263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Впорядкування кладовищ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5" w:type="dxa"/>
          </w:tcPr>
          <w:p w:rsidR="00D318FC" w:rsidRPr="00D318FC" w:rsidRDefault="00D318FC" w:rsidP="00A926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Благоустрій території (косіння трави, прибирання снігу)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5" w:type="dxa"/>
          </w:tcPr>
          <w:p w:rsidR="00D318FC" w:rsidRPr="00D318FC" w:rsidRDefault="00D318FC" w:rsidP="00A9263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Впорядкування та ремонт  дитячих майданчиків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8FC" w:rsidRPr="00246327" w:rsidTr="0035082C">
        <w:trPr>
          <w:trHeight w:val="864"/>
        </w:trPr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25" w:type="dxa"/>
          </w:tcPr>
          <w:p w:rsidR="00D318FC" w:rsidRPr="00D318FC" w:rsidRDefault="00D318FC" w:rsidP="00A9263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Утримання  зелених насаджень (обрізка дерев, придбання саджанців, впорядкування клумб )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5" w:type="dxa"/>
          </w:tcPr>
          <w:p w:rsidR="00D318FC" w:rsidRPr="00D318FC" w:rsidRDefault="00537082" w:rsidP="0053708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318FC" w:rsidRPr="00D318FC">
              <w:rPr>
                <w:rFonts w:ascii="Times New Roman" w:hAnsi="Times New Roman" w:cs="Times New Roman"/>
                <w:sz w:val="24"/>
                <w:szCs w:val="24"/>
              </w:rPr>
              <w:t>колодязів загального користування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</w:tcPr>
          <w:p w:rsidR="00D318FC" w:rsidRPr="00D318FC" w:rsidRDefault="00D318FC" w:rsidP="00A9263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програмою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sz w:val="24"/>
                <w:szCs w:val="24"/>
              </w:rPr>
              <w:t>37565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sz w:val="24"/>
                <w:szCs w:val="24"/>
              </w:rPr>
              <w:t>16000,0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6500,0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4740,0</w:t>
            </w:r>
          </w:p>
        </w:tc>
      </w:tr>
    </w:tbl>
    <w:p w:rsidR="00246327" w:rsidRPr="00246327" w:rsidRDefault="00246327" w:rsidP="007A7A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46327" w:rsidRPr="00246327" w:rsidSect="0035082C">
      <w:pgSz w:w="16838" w:h="11906" w:orient="landscape"/>
      <w:pgMar w:top="851" w:right="1134" w:bottom="851" w:left="142" w:header="227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EA" w:rsidRDefault="003824EA" w:rsidP="00460859">
      <w:pPr>
        <w:spacing w:after="0" w:line="240" w:lineRule="auto"/>
      </w:pPr>
      <w:r>
        <w:separator/>
      </w:r>
    </w:p>
  </w:endnote>
  <w:endnote w:type="continuationSeparator" w:id="1">
    <w:p w:rsidR="003824EA" w:rsidRDefault="003824EA" w:rsidP="0046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EA" w:rsidRDefault="003824EA" w:rsidP="00460859">
      <w:pPr>
        <w:spacing w:after="0" w:line="240" w:lineRule="auto"/>
      </w:pPr>
      <w:r>
        <w:separator/>
      </w:r>
    </w:p>
  </w:footnote>
  <w:footnote w:type="continuationSeparator" w:id="1">
    <w:p w:rsidR="003824EA" w:rsidRDefault="003824EA" w:rsidP="0046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9E" w:rsidRDefault="00AD1AF3" w:rsidP="0016083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66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669E" w:rsidRDefault="001566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9E" w:rsidRDefault="00AD1AF3" w:rsidP="0016083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66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1B41">
      <w:rPr>
        <w:rStyle w:val="ab"/>
        <w:noProof/>
      </w:rPr>
      <w:t>6</w:t>
    </w:r>
    <w:r>
      <w:rPr>
        <w:rStyle w:val="ab"/>
      </w:rPr>
      <w:fldChar w:fldCharType="end"/>
    </w:r>
  </w:p>
  <w:p w:rsidR="0015669E" w:rsidRDefault="001566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0A9"/>
    <w:multiLevelType w:val="multilevel"/>
    <w:tmpl w:val="4CE20E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6D573A0"/>
    <w:multiLevelType w:val="multilevel"/>
    <w:tmpl w:val="38B26C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BCB5165"/>
    <w:multiLevelType w:val="multilevel"/>
    <w:tmpl w:val="9D7403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B5F1367"/>
    <w:multiLevelType w:val="multilevel"/>
    <w:tmpl w:val="F2CAC0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384"/>
    <w:rsid w:val="00010E97"/>
    <w:rsid w:val="000A02E3"/>
    <w:rsid w:val="000A7E06"/>
    <w:rsid w:val="000B236C"/>
    <w:rsid w:val="00101E6E"/>
    <w:rsid w:val="00104ECA"/>
    <w:rsid w:val="001370F7"/>
    <w:rsid w:val="0015669E"/>
    <w:rsid w:val="00185C94"/>
    <w:rsid w:val="001A7D45"/>
    <w:rsid w:val="00234156"/>
    <w:rsid w:val="00246327"/>
    <w:rsid w:val="00296922"/>
    <w:rsid w:val="002F5F30"/>
    <w:rsid w:val="00340A0E"/>
    <w:rsid w:val="0035082C"/>
    <w:rsid w:val="003824EA"/>
    <w:rsid w:val="003B2A52"/>
    <w:rsid w:val="003B6CAE"/>
    <w:rsid w:val="003D5939"/>
    <w:rsid w:val="0043405B"/>
    <w:rsid w:val="00460859"/>
    <w:rsid w:val="0046486C"/>
    <w:rsid w:val="0047669E"/>
    <w:rsid w:val="00496103"/>
    <w:rsid w:val="004B2F86"/>
    <w:rsid w:val="004C2A77"/>
    <w:rsid w:val="004F2844"/>
    <w:rsid w:val="00505B6A"/>
    <w:rsid w:val="00535751"/>
    <w:rsid w:val="00537082"/>
    <w:rsid w:val="005C236C"/>
    <w:rsid w:val="005E51B1"/>
    <w:rsid w:val="005E69D3"/>
    <w:rsid w:val="006059CB"/>
    <w:rsid w:val="0063044D"/>
    <w:rsid w:val="006E3128"/>
    <w:rsid w:val="006F72C8"/>
    <w:rsid w:val="00765D26"/>
    <w:rsid w:val="007766CE"/>
    <w:rsid w:val="007A7AEF"/>
    <w:rsid w:val="007B7384"/>
    <w:rsid w:val="007C5B19"/>
    <w:rsid w:val="007C720C"/>
    <w:rsid w:val="00806F22"/>
    <w:rsid w:val="00814495"/>
    <w:rsid w:val="0081759A"/>
    <w:rsid w:val="008345C3"/>
    <w:rsid w:val="008975C8"/>
    <w:rsid w:val="008B30DF"/>
    <w:rsid w:val="008E3A3B"/>
    <w:rsid w:val="00906D24"/>
    <w:rsid w:val="00910AA1"/>
    <w:rsid w:val="009218F1"/>
    <w:rsid w:val="0093571D"/>
    <w:rsid w:val="0093796B"/>
    <w:rsid w:val="00972DFD"/>
    <w:rsid w:val="00981A4D"/>
    <w:rsid w:val="009B79F8"/>
    <w:rsid w:val="009E3AE8"/>
    <w:rsid w:val="00A105DE"/>
    <w:rsid w:val="00A2094F"/>
    <w:rsid w:val="00A4656B"/>
    <w:rsid w:val="00A51BCF"/>
    <w:rsid w:val="00A5274D"/>
    <w:rsid w:val="00A77B0D"/>
    <w:rsid w:val="00A82C3A"/>
    <w:rsid w:val="00A872B0"/>
    <w:rsid w:val="00A929B9"/>
    <w:rsid w:val="00AD1AF3"/>
    <w:rsid w:val="00AE2F45"/>
    <w:rsid w:val="00AE5F63"/>
    <w:rsid w:val="00AE5F9A"/>
    <w:rsid w:val="00AF2E86"/>
    <w:rsid w:val="00BA231A"/>
    <w:rsid w:val="00BA5DAA"/>
    <w:rsid w:val="00BE1D7A"/>
    <w:rsid w:val="00BF4579"/>
    <w:rsid w:val="00C241E0"/>
    <w:rsid w:val="00C335EC"/>
    <w:rsid w:val="00C55066"/>
    <w:rsid w:val="00C91B41"/>
    <w:rsid w:val="00CB1079"/>
    <w:rsid w:val="00CC13A6"/>
    <w:rsid w:val="00CD3398"/>
    <w:rsid w:val="00D048D4"/>
    <w:rsid w:val="00D06409"/>
    <w:rsid w:val="00D06BDE"/>
    <w:rsid w:val="00D07087"/>
    <w:rsid w:val="00D12DCF"/>
    <w:rsid w:val="00D206F1"/>
    <w:rsid w:val="00D216D2"/>
    <w:rsid w:val="00D24398"/>
    <w:rsid w:val="00D25146"/>
    <w:rsid w:val="00D318FC"/>
    <w:rsid w:val="00D44DF0"/>
    <w:rsid w:val="00D64DC1"/>
    <w:rsid w:val="00D800A2"/>
    <w:rsid w:val="00DC789E"/>
    <w:rsid w:val="00DE41CD"/>
    <w:rsid w:val="00E343C1"/>
    <w:rsid w:val="00E834C4"/>
    <w:rsid w:val="00EA29C3"/>
    <w:rsid w:val="00EA7357"/>
    <w:rsid w:val="00EB4392"/>
    <w:rsid w:val="00ED2E13"/>
    <w:rsid w:val="00F13489"/>
    <w:rsid w:val="00F210D5"/>
    <w:rsid w:val="00F34EE9"/>
    <w:rsid w:val="00FD13F7"/>
    <w:rsid w:val="00FF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844"/>
  </w:style>
  <w:style w:type="paragraph" w:styleId="1">
    <w:name w:val="heading 1"/>
    <w:basedOn w:val="a"/>
    <w:next w:val="a"/>
    <w:rsid w:val="004F2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F2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F2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284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F284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2E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28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2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F2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859"/>
  </w:style>
  <w:style w:type="paragraph" w:styleId="a7">
    <w:name w:val="footer"/>
    <w:basedOn w:val="a"/>
    <w:link w:val="a8"/>
    <w:uiPriority w:val="99"/>
    <w:unhideWhenUsed/>
    <w:rsid w:val="004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859"/>
  </w:style>
  <w:style w:type="character" w:customStyle="1" w:styleId="fontstyle01">
    <w:name w:val="fontstyle01"/>
    <w:basedOn w:val="a0"/>
    <w:rsid w:val="00F34EE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C33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Основной текст (4)_"/>
    <w:basedOn w:val="a0"/>
    <w:link w:val="41"/>
    <w:rsid w:val="00A8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82C3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Normal (Web)"/>
    <w:basedOn w:val="a"/>
    <w:rsid w:val="00A82C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val="ru-RU" w:eastAsia="ru-RU"/>
    </w:rPr>
  </w:style>
  <w:style w:type="character" w:styleId="ab">
    <w:name w:val="page number"/>
    <w:basedOn w:val="a0"/>
    <w:rsid w:val="0015669E"/>
  </w:style>
  <w:style w:type="paragraph" w:styleId="ac">
    <w:name w:val="Balloon Text"/>
    <w:basedOn w:val="a"/>
    <w:link w:val="ad"/>
    <w:uiPriority w:val="99"/>
    <w:semiHidden/>
    <w:unhideWhenUsed/>
    <w:rsid w:val="002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692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AF2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vps2">
    <w:name w:val="rvps2"/>
    <w:basedOn w:val="a"/>
    <w:uiPriority w:val="99"/>
    <w:rsid w:val="003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844"/>
  </w:style>
  <w:style w:type="paragraph" w:styleId="1">
    <w:name w:val="heading 1"/>
    <w:basedOn w:val="a"/>
    <w:next w:val="a"/>
    <w:rsid w:val="004F2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F2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F2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284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F284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2E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28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2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F2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859"/>
  </w:style>
  <w:style w:type="paragraph" w:styleId="a7">
    <w:name w:val="footer"/>
    <w:basedOn w:val="a"/>
    <w:link w:val="a8"/>
    <w:uiPriority w:val="99"/>
    <w:unhideWhenUsed/>
    <w:rsid w:val="004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859"/>
  </w:style>
  <w:style w:type="character" w:customStyle="1" w:styleId="fontstyle01">
    <w:name w:val="fontstyle01"/>
    <w:basedOn w:val="a0"/>
    <w:rsid w:val="00F34EE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C33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Основной текст (4)_"/>
    <w:basedOn w:val="a0"/>
    <w:link w:val="41"/>
    <w:rsid w:val="00A8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82C3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Normal (Web)"/>
    <w:basedOn w:val="a"/>
    <w:rsid w:val="00A82C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val="ru-RU" w:eastAsia="ru-RU"/>
    </w:rPr>
  </w:style>
  <w:style w:type="character" w:styleId="ab">
    <w:name w:val="page number"/>
    <w:basedOn w:val="a0"/>
    <w:rsid w:val="0015669E"/>
  </w:style>
  <w:style w:type="paragraph" w:styleId="ac">
    <w:name w:val="Balloon Text"/>
    <w:basedOn w:val="a"/>
    <w:link w:val="ad"/>
    <w:uiPriority w:val="99"/>
    <w:semiHidden/>
    <w:unhideWhenUsed/>
    <w:rsid w:val="002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692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AF2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vps2">
    <w:name w:val="rvps2"/>
    <w:basedOn w:val="a"/>
    <w:uiPriority w:val="99"/>
    <w:rsid w:val="003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123</cp:lastModifiedBy>
  <cp:revision>2</cp:revision>
  <dcterms:created xsi:type="dcterms:W3CDTF">2021-01-01T13:35:00Z</dcterms:created>
  <dcterms:modified xsi:type="dcterms:W3CDTF">2021-01-01T13:35:00Z</dcterms:modified>
</cp:coreProperties>
</file>