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8C" w:rsidRDefault="0019768C" w:rsidP="003B372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5CA4" w:rsidRPr="003B3727" w:rsidRDefault="003B3727" w:rsidP="003B372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55CA4"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атверджено</w:t>
      </w:r>
    </w:p>
    <w:p w:rsidR="003B3727" w:rsidRDefault="00B55CA4" w:rsidP="003B372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</w:t>
      </w:r>
    </w:p>
    <w:p w:rsidR="003B3727" w:rsidRDefault="003B3727" w:rsidP="003B372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55CA4"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еликосеверинівської</w:t>
      </w:r>
    </w:p>
    <w:p w:rsidR="00B55CA4" w:rsidRDefault="003B3727" w:rsidP="003B372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B55CA4"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ільської ради</w:t>
      </w:r>
    </w:p>
    <w:p w:rsidR="00B55CA4" w:rsidRPr="003B3727" w:rsidRDefault="00B55CA4" w:rsidP="0019768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19768C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 грудня</w:t>
      </w:r>
      <w:r w:rsidR="003B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2020</w:t>
      </w:r>
      <w:r w:rsidR="00197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Pr="003B3727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19768C">
        <w:rPr>
          <w:rFonts w:ascii="Times New Roman" w:eastAsia="Calibri" w:hAnsi="Times New Roman" w:cs="Times New Roman"/>
          <w:sz w:val="28"/>
          <w:szCs w:val="28"/>
          <w:lang w:val="uk-UA"/>
        </w:rPr>
        <w:t>73</w:t>
      </w:r>
    </w:p>
    <w:p w:rsidR="00B55CA4" w:rsidRPr="003B3727" w:rsidRDefault="00B55CA4" w:rsidP="003B3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CA4" w:rsidRPr="003B3727" w:rsidRDefault="00B55CA4" w:rsidP="003B3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55CA4" w:rsidRPr="003B3727" w:rsidRDefault="00B55CA4" w:rsidP="003B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>розвитку культури та охорони культурної спадщини Великосеверинівської сільської ради</w:t>
      </w:r>
    </w:p>
    <w:p w:rsidR="00B55CA4" w:rsidRPr="003B3727" w:rsidRDefault="00B55CA4" w:rsidP="003B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>на 2021-2022 роки</w:t>
      </w:r>
    </w:p>
    <w:p w:rsidR="00B55CA4" w:rsidRPr="003B3727" w:rsidRDefault="00B55CA4" w:rsidP="003B3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1846" w:rsidRPr="003B3727" w:rsidRDefault="008E3B5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ПАСПОРТ ПРОГРАМИ</w:t>
      </w:r>
    </w:p>
    <w:p w:rsidR="008E3B57" w:rsidRPr="003B3727" w:rsidRDefault="008E3B5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tbl>
      <w:tblPr>
        <w:tblStyle w:val="a9"/>
        <w:tblW w:w="9209" w:type="dxa"/>
        <w:tblLook w:val="04A0"/>
      </w:tblPr>
      <w:tblGrid>
        <w:gridCol w:w="704"/>
        <w:gridCol w:w="3260"/>
        <w:gridCol w:w="5245"/>
      </w:tblGrid>
      <w:tr w:rsidR="008E2DFF" w:rsidRPr="003B3727" w:rsidTr="00C5792D">
        <w:tc>
          <w:tcPr>
            <w:tcW w:w="704" w:type="dxa"/>
          </w:tcPr>
          <w:p w:rsidR="008E2DFF" w:rsidRPr="006D1B5E" w:rsidRDefault="00A70C61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3260" w:type="dxa"/>
          </w:tcPr>
          <w:p w:rsidR="008E2DFF" w:rsidRPr="006D1B5E" w:rsidRDefault="00A70C61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8E2DFF" w:rsidRPr="006D1B5E" w:rsidRDefault="00314DAD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Великосеверинівська сільська рада</w:t>
            </w:r>
          </w:p>
        </w:tc>
      </w:tr>
      <w:tr w:rsidR="008E2DFF" w:rsidRPr="003B3727" w:rsidTr="00C5792D">
        <w:tc>
          <w:tcPr>
            <w:tcW w:w="704" w:type="dxa"/>
          </w:tcPr>
          <w:p w:rsidR="008E2DFF" w:rsidRPr="006D1B5E" w:rsidRDefault="00F54EA6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A70C61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260" w:type="dxa"/>
          </w:tcPr>
          <w:p w:rsidR="008E2DFF" w:rsidRPr="006D1B5E" w:rsidRDefault="00C5792D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Розробник Програми</w:t>
            </w:r>
          </w:p>
        </w:tc>
        <w:tc>
          <w:tcPr>
            <w:tcW w:w="5245" w:type="dxa"/>
          </w:tcPr>
          <w:p w:rsidR="008E2DFF" w:rsidRPr="006D1B5E" w:rsidRDefault="00F54EA6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Відділ освіти, молоді та</w:t>
            </w:r>
            <w:r w:rsidR="003B3727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спорту, культури та туризму </w:t>
            </w:r>
            <w:r w:rsidR="00041274"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Великосеверинівської сільської ради</w:t>
            </w:r>
          </w:p>
        </w:tc>
      </w:tr>
      <w:tr w:rsidR="0019768C" w:rsidRPr="003B3727" w:rsidTr="00C5792D">
        <w:tc>
          <w:tcPr>
            <w:tcW w:w="704" w:type="dxa"/>
          </w:tcPr>
          <w:p w:rsidR="0019768C" w:rsidRPr="006D1B5E" w:rsidRDefault="005151D3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="0019768C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260" w:type="dxa"/>
          </w:tcPr>
          <w:p w:rsidR="0019768C" w:rsidRPr="006D1B5E" w:rsidRDefault="0019768C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19768C" w:rsidRPr="006D1B5E" w:rsidRDefault="0019768C" w:rsidP="002942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Відділ освіти, молоді та спорту, культури та туризму  Великосеверинівської сільської ради</w:t>
            </w:r>
          </w:p>
        </w:tc>
      </w:tr>
      <w:tr w:rsidR="0019768C" w:rsidRPr="005151D3" w:rsidTr="00C5792D">
        <w:tc>
          <w:tcPr>
            <w:tcW w:w="704" w:type="dxa"/>
          </w:tcPr>
          <w:p w:rsidR="0019768C" w:rsidRPr="006D1B5E" w:rsidRDefault="005151D3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="0019768C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260" w:type="dxa"/>
          </w:tcPr>
          <w:p w:rsidR="0019768C" w:rsidRPr="006D1B5E" w:rsidRDefault="0019768C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Відповідальні виконавці Програми</w:t>
            </w:r>
          </w:p>
        </w:tc>
        <w:tc>
          <w:tcPr>
            <w:tcW w:w="5245" w:type="dxa"/>
          </w:tcPr>
          <w:p w:rsidR="0019768C" w:rsidRPr="006D1B5E" w:rsidRDefault="0019768C" w:rsidP="0019768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Оситнязький Центр культури та дозвілля, Великосеверинівська, Підгайцівська, Лозуватська філії ЦКД, Созонівський сільський будинок культури, Високобайрацький сільський будинок культури, Великосеверинівська Центральна бібліотека, Оситнязька, Підгайцівська, Лозуватська філії ЦБ, Созонівська сільська бібліотека, Високобайрацьк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</w:t>
            </w: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сільська бібліотека</w:t>
            </w:r>
          </w:p>
        </w:tc>
      </w:tr>
      <w:tr w:rsidR="0019768C" w:rsidRPr="003B3727" w:rsidTr="00C5792D">
        <w:tc>
          <w:tcPr>
            <w:tcW w:w="704" w:type="dxa"/>
          </w:tcPr>
          <w:p w:rsidR="0019768C" w:rsidRPr="006D1B5E" w:rsidRDefault="005151D3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5</w:t>
            </w:r>
            <w:r w:rsidR="0019768C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260" w:type="dxa"/>
          </w:tcPr>
          <w:p w:rsidR="0019768C" w:rsidRPr="006D1B5E" w:rsidRDefault="0019768C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19768C" w:rsidRPr="006D1B5E" w:rsidRDefault="0019768C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2021-2022 роки</w:t>
            </w:r>
          </w:p>
        </w:tc>
      </w:tr>
      <w:tr w:rsidR="0019768C" w:rsidRPr="003B3727" w:rsidTr="00C5792D">
        <w:tc>
          <w:tcPr>
            <w:tcW w:w="704" w:type="dxa"/>
          </w:tcPr>
          <w:p w:rsidR="0019768C" w:rsidRPr="006D1B5E" w:rsidRDefault="005151D3" w:rsidP="003B37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6</w:t>
            </w:r>
            <w:r w:rsidR="0019768C" w:rsidRPr="006D1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260" w:type="dxa"/>
          </w:tcPr>
          <w:p w:rsidR="0019768C" w:rsidRPr="006D1B5E" w:rsidRDefault="0019768C" w:rsidP="003B37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D1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фінансових ресурсів для реалізації програми</w:t>
            </w:r>
          </w:p>
        </w:tc>
        <w:tc>
          <w:tcPr>
            <w:tcW w:w="5245" w:type="dxa"/>
          </w:tcPr>
          <w:p w:rsidR="0019768C" w:rsidRPr="006D1B5E" w:rsidRDefault="0019768C" w:rsidP="003B37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</w:pP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100,0 тис. грн. </w:t>
            </w:r>
            <w:r w:rsidRPr="006D1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 w:bidi="uk-UA"/>
              </w:rPr>
              <w:t>1</w:t>
            </w:r>
          </w:p>
        </w:tc>
      </w:tr>
    </w:tbl>
    <w:p w:rsidR="00DA6E64" w:rsidRPr="003B3727" w:rsidRDefault="00DA6E64" w:rsidP="003B3727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B55CA4" w:rsidRPr="003B3727" w:rsidRDefault="00B55CA4" w:rsidP="003B3727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B372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3B3727">
        <w:rPr>
          <w:rFonts w:ascii="Times New Roman" w:hAnsi="Times New Roman" w:cs="Times New Roman"/>
          <w:sz w:val="20"/>
          <w:szCs w:val="20"/>
          <w:lang w:val="uk-UA"/>
        </w:rPr>
        <w:t>Обсяг</w:t>
      </w:r>
      <w:r w:rsidR="003B37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3727">
        <w:rPr>
          <w:rFonts w:ascii="Times New Roman" w:hAnsi="Times New Roman" w:cs="Times New Roman"/>
          <w:sz w:val="20"/>
          <w:szCs w:val="20"/>
          <w:lang w:val="uk-UA"/>
        </w:rPr>
        <w:t>фінансових</w:t>
      </w:r>
      <w:r w:rsidR="00272A6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B3727">
        <w:rPr>
          <w:rFonts w:ascii="Times New Roman" w:hAnsi="Times New Roman" w:cs="Times New Roman"/>
          <w:sz w:val="20"/>
          <w:szCs w:val="20"/>
          <w:lang w:val="uk-UA"/>
        </w:rPr>
        <w:t>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</w:t>
      </w:r>
    </w:p>
    <w:p w:rsidR="00B55CA4" w:rsidRPr="003B3727" w:rsidRDefault="00B55CA4" w:rsidP="003B3727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9768C" w:rsidRDefault="0019768C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9768C" w:rsidRDefault="0019768C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19768C" w:rsidRDefault="0019768C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A6E64" w:rsidRPr="003B3727" w:rsidRDefault="003B3727" w:rsidP="003B3727">
      <w:pPr>
        <w:widowControl w:val="0"/>
        <w:tabs>
          <w:tab w:val="left" w:pos="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1.Загальні положення </w:t>
      </w:r>
    </w:p>
    <w:p w:rsidR="003B3727" w:rsidRDefault="003B3727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F3AE6" w:rsidRPr="003B3727" w:rsidRDefault="001F3AE6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Українське село, яке є носієм духовного багатства та зберігає традиції народу України, потребує сьогодні особливої уваги з боку державних владних структур щодо подолання негативних явищ деградації. Актуальність розроблення та прийняття Програми зумовлена потребою в невідкладному вжитті заходів для підтримки й розвитку культури на селі. Заклади культури в сільській місцевості є однією з важливих складових культури, що відіграють важливу роль у збереженні національної самобутності, формуванні духовних та естетичних цінностей суспільства.</w:t>
      </w:r>
    </w:p>
    <w:p w:rsidR="001F3AE6" w:rsidRPr="003B3727" w:rsidRDefault="001F3AE6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Процеси реформування галузі культури села не відповідають бажаній динаміці і потребують відповідної уваги, особливо, в плані фінансово-матеріального забезпечення заклад</w:t>
      </w:r>
      <w:r w:rsidR="008F427F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ів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культури, з метою покращення якості проведення культурно-масових заходів на території </w:t>
      </w:r>
      <w:r w:rsidR="007C662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Великосеверинівської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ради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Важливо відзначити необхідність покращення умов праці працівників культури, особливо в осінньо-зимовий період. Це стосується температурного режиму в середині будівлі, що не відповідає нормам. Гостро стоїть проблема проведення </w:t>
      </w:r>
      <w:r w:rsidR="007C662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капітальних ремонтів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 т. ін.</w:t>
      </w:r>
    </w:p>
    <w:p w:rsidR="0095682D" w:rsidRPr="003B3727" w:rsidRDefault="00343C1D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Програма розвитку культури, мистецтва та ох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орони культурної спадщини на 2021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-202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роки (далі – Програма) розроблена з метою забезпечення розвитку культури, мистецтва та збереження об’єктів культурної спадщини </w:t>
      </w:r>
      <w:r w:rsidR="00C015B8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території 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сільської ради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C015B8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Вона</w:t>
      </w:r>
      <w:r w:rsidR="00DA6E6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визначає пріоритетні цілі, стратегічні напрямки та механізми здійснення програми культурної самореалізації мешканців сіл Велика Северинка, Підгайці, Лозуватка</w:t>
      </w:r>
      <w:r w:rsidR="00A242E1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DA6E6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Кандаурове</w:t>
      </w:r>
      <w:r w:rsidR="004A38F2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Оситняжка та Петрове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Созонівка, Високі Байраки, Рожняківка, Густий Гай, ст. Канатове.</w:t>
      </w:r>
      <w:r w:rsidR="00DA6E6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Доступ до культурних цінностей та участь в культурному житті є фундаментальним правом кожного</w:t>
      </w:r>
      <w:r w:rsidR="0095682D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мешканця населених пунктів Вели</w:t>
      </w:r>
      <w:r w:rsid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</w:t>
      </w:r>
      <w:r w:rsidR="0095682D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осеверинівської сільської ради.</w:t>
      </w:r>
    </w:p>
    <w:p w:rsidR="004B3942" w:rsidRPr="003B3727" w:rsidRDefault="0095682D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Програма розвитку культури спрямована на розвиток народної творчості, організацію роботи з талановитою молоддю, вдосконалення художньої майстерності мистецьких колективів сіл Велика Северинка, Підгайці, Лозуватка, Оситняжка, </w:t>
      </w:r>
      <w:r w:rsidR="00B55CA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Созонівка, Високі Байраки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організацію системи обмінних концертів, гастрольної діяльності, проведення розширення творчої та колективної діяльності мистецьких колективів сіл, поповнення бібліотечних фондів, проведення заходів щодо </w:t>
      </w:r>
      <w:r w:rsidR="00C015B8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популяризації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народних традицій, вітчизняного мистецтва,</w:t>
      </w:r>
      <w:r w:rsidR="002F31F2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історії рідного краю та країни, співпрацю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творчими спілками, фондами розвитку культури і мистецтва, зміцнення матеріально-технічної бази за</w:t>
      </w:r>
      <w:r w:rsidR="002F31F2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кладів культури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D1B5E" w:rsidRDefault="006D1B5E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6D1B5E" w:rsidRDefault="006D1B5E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6D1B5E" w:rsidRDefault="006D1B5E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16768" w:rsidRPr="003B3727" w:rsidRDefault="003B3727" w:rsidP="003B3727">
      <w:pPr>
        <w:widowControl w:val="0"/>
        <w:tabs>
          <w:tab w:val="left" w:pos="2977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>2.Мета Програми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Метою Програми є: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задоволення духовних потреб населення, забезпечення конституційного права на доступ до надбань культури і мистецтва всіх громадян, незалежно від національної чи регіональної належності;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- створення належних умов для розвитку системи культурного обслуговування населення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Великосеверинівської сільської ради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- надання жителям сіл соціально рівних з </w:t>
      </w:r>
      <w:r w:rsidR="008D3EDB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міським 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населення</w:t>
      </w:r>
      <w:r w:rsidR="008D3EDB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м 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можливостей для задоволення культурних потреб;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популяризація культурно-освітніх заходів щодо формування  патріотичних почуттів</w:t>
      </w:r>
      <w:r w:rsidR="00122DBA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,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любові до рідного краю;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матеріально-технічне забезпечення основних культурно-мистецьких закладів та організацій тощо;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забезпечення ефективного функціонування бібліотек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, якісне бібліотечне обслуговування, забезпечення загальної доступності до інформації та культурних цінностей; </w:t>
      </w:r>
    </w:p>
    <w:p w:rsidR="000F19B3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сприяння проведенню культурно-мистецьких заходів, концертів народних та професійних колективів;</w:t>
      </w:r>
    </w:p>
    <w:p w:rsidR="00122DBA" w:rsidRPr="003B3727" w:rsidRDefault="000F19B3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 охорона і збереження</w:t>
      </w:r>
      <w:r w:rsidR="00057071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пам’яток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культурної спадщини</w:t>
      </w:r>
      <w:r w:rsidR="00057071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та</w:t>
      </w:r>
      <w:r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історії</w:t>
      </w:r>
      <w:r w:rsidR="00057071" w:rsidRPr="003B3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.</w:t>
      </w:r>
    </w:p>
    <w:p w:rsidR="00AA00A4" w:rsidRPr="003B3727" w:rsidRDefault="003B3727" w:rsidP="003B3727">
      <w:pPr>
        <w:widowControl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3.Завдання Програми</w:t>
      </w:r>
    </w:p>
    <w:p w:rsidR="00AA00A4" w:rsidRPr="003B3727" w:rsidRDefault="00AA00A4" w:rsidP="003B372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B372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створення та поліпшення умов для розвитку та підтримки закладів культури, сприяння відродженню осередків традиційної народної творчості, національно-культурних традицій населення, художніх промислів та ремесел з метою збереження національної культурної спадщини, культурних цінностей та культурних благ;</w:t>
      </w:r>
    </w:p>
    <w:p w:rsidR="00122DBA" w:rsidRPr="003B3727" w:rsidRDefault="00122DBA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створення гуртків, секцій, клубних формувань, любительських об’єднань при будинках культури;  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зміцнення матеріально-технічної бази закладів культури;</w:t>
      </w:r>
    </w:p>
    <w:p w:rsidR="008112A4" w:rsidRPr="003B3727" w:rsidRDefault="008112A4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впровадження ефективних форм і методів культурно-дозвіллєвої діяльності;</w:t>
      </w:r>
    </w:p>
    <w:p w:rsidR="00316768" w:rsidRPr="003B3727" w:rsidRDefault="00316768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8456C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реалізація комплексу освітніх, культурно-мистецьких програм і проектів для дітей та молоді;</w:t>
      </w:r>
    </w:p>
    <w:p w:rsidR="00502F71" w:rsidRPr="003B3727" w:rsidRDefault="00502F71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більш широке залучення до участі в культурно-масових заходах шкільної та студентської молоді сіл;</w:t>
      </w:r>
    </w:p>
    <w:p w:rsidR="00316768" w:rsidRPr="003B3727" w:rsidRDefault="00316768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8456CA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розповсюдження та популяризація творів вітчизняної літератури і мистецтва;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підтримка та розвиток аматорської творчості;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забезпечення проведення державних, місцевих, професійних свят, участь у конкурсах і фестивалях (в т.ч. міжнародних), проведення семінарів, тематичних заходів;</w:t>
      </w:r>
    </w:p>
    <w:p w:rsidR="00271701" w:rsidRPr="003B3727" w:rsidRDefault="00271701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 забезпечення свободи творчості, доступу до культурних надбань, створення можливостей для активної участі жителів сіл у художній творчості, особливо молоді;</w:t>
      </w:r>
    </w:p>
    <w:p w:rsidR="00316768" w:rsidRPr="003B3727" w:rsidRDefault="00316768" w:rsidP="003B3727">
      <w:pPr>
        <w:widowControl w:val="0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забезпечення гарантій свободи творчості.</w:t>
      </w:r>
    </w:p>
    <w:p w:rsidR="00316768" w:rsidRPr="003B3727" w:rsidRDefault="00316768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65F74" w:rsidRPr="003B3727" w:rsidRDefault="003B3727" w:rsidP="003B3727">
      <w:pPr>
        <w:widowControl w:val="0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4.</w:t>
      </w:r>
      <w:r w:rsidR="006544F8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Фінансування Програми</w:t>
      </w:r>
    </w:p>
    <w:p w:rsidR="00614F0E" w:rsidRPr="003B3727" w:rsidRDefault="00614F0E" w:rsidP="003B3727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B3727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здійснюється відповідно до законодавства за рахунок коштів бюджету Великосеверинівської сільської ради на відповідні цілі</w:t>
      </w:r>
      <w:r w:rsidRPr="003B372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 межах запланованих видатків на відповідний рік</w:t>
      </w:r>
      <w:r w:rsidRPr="003B37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37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B55CA4" w:rsidRPr="003B3727" w:rsidRDefault="00B55CA4" w:rsidP="003B37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F74" w:rsidRPr="003B3727" w:rsidRDefault="003B3727" w:rsidP="003B372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5.</w:t>
      </w:r>
      <w:r w:rsidR="006544F8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565F74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чікувані результати виконання  Програми</w:t>
      </w:r>
    </w:p>
    <w:p w:rsidR="00565F74" w:rsidRPr="003B3727" w:rsidRDefault="00565F74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результаті виконання Програми очікується:</w:t>
      </w:r>
    </w:p>
    <w:p w:rsidR="00565F74" w:rsidRPr="003B3727" w:rsidRDefault="00022257" w:rsidP="003B37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565F7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проведення на належному рівні державних, місцевих, професійних свят, семінарів, тематичних заходів</w:t>
      </w:r>
      <w:r w:rsidR="0092707B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фестивалів</w:t>
      </w:r>
      <w:r w:rsidR="00565F74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створення сприятливих умов для розвитку культури сіл Великосеверинівської сільської ради;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покращення рівня культурного обслуговування населення;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відродження та подальший розвиток аматорського мистецтва та народної</w:t>
      </w:r>
      <w:r w:rsidR="00DC5491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творчості;</w:t>
      </w:r>
    </w:p>
    <w:p w:rsidR="00565F74" w:rsidRPr="003B3727" w:rsidRDefault="00565F74" w:rsidP="003B372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активізація участі сіл Велика Северинка, Підгайці, Лозуватка</w:t>
      </w:r>
      <w:r w:rsidR="00614F0E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Созонівка, Високі Байраки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="00022257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ru-RU"/>
        </w:rPr>
        <w:t>Оситняжка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ru-RU"/>
        </w:rPr>
        <w:t xml:space="preserve"> 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регіональних, обласних, Всеукр</w:t>
      </w:r>
      <w:r w:rsidR="00DC5491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аїнських та міжнародних заходах.</w:t>
      </w:r>
    </w:p>
    <w:p w:rsidR="00565F74" w:rsidRPr="003B3727" w:rsidRDefault="00C645CA" w:rsidP="003B3727">
      <w:pPr>
        <w:widowControl w:val="0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0" w:name="bookmark3"/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7</w:t>
      </w:r>
      <w:r w:rsidR="00565F74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. Координація роботи і контроль за виконанням Програми</w:t>
      </w:r>
      <w:bookmarkEnd w:id="0"/>
    </w:p>
    <w:p w:rsidR="00565F74" w:rsidRPr="003B3727" w:rsidRDefault="00565F74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Координація діяльності за виконанням Програми покладається на </w:t>
      </w:r>
      <w:r w:rsidR="0067229F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відділ освіти, молоді та спорту, культури та туризму та </w:t>
      </w:r>
      <w:bookmarkStart w:id="1" w:name="_GoBack"/>
      <w:bookmarkEnd w:id="1"/>
      <w:r w:rsidR="0067229F"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постійну  комісію  з  питань  освіти, фізичного  виховання, культури, охорони здоров’я та  соціального  захисту</w:t>
      </w: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742E4D" w:rsidRPr="003B3727" w:rsidRDefault="00565F74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Контроль за виконанням Програми покладається на постійну комісію з питань планування місцевого бюджету, фінансів, цін, соціально-економічного та культурного розвитку населених пунктів.</w:t>
      </w: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456BBB" w:rsidRPr="003B3727" w:rsidRDefault="00456BBB" w:rsidP="003B3727">
      <w:pPr>
        <w:tabs>
          <w:tab w:val="left" w:pos="3969"/>
        </w:tabs>
        <w:spacing w:line="240" w:lineRule="auto"/>
        <w:ind w:left="851" w:firstLine="59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A6E" w:rsidRDefault="00272A6E" w:rsidP="003B3727">
      <w:pPr>
        <w:tabs>
          <w:tab w:val="left" w:pos="3969"/>
        </w:tabs>
        <w:spacing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2A6E" w:rsidRDefault="00272A6E" w:rsidP="003B3727">
      <w:pPr>
        <w:tabs>
          <w:tab w:val="left" w:pos="3969"/>
        </w:tabs>
        <w:spacing w:line="240" w:lineRule="auto"/>
        <w:ind w:firstLine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9768C" w:rsidRDefault="000E7260" w:rsidP="000E7260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768C" w:rsidRDefault="0019768C" w:rsidP="000E7260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68C" w:rsidRDefault="0019768C" w:rsidP="000E7260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68C" w:rsidRDefault="0019768C" w:rsidP="000E7260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BBB" w:rsidRPr="003B3727" w:rsidRDefault="0019768C" w:rsidP="000E7260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6BBB" w:rsidRPr="003B3727">
        <w:rPr>
          <w:rFonts w:ascii="Times New Roman" w:hAnsi="Times New Roman" w:cs="Times New Roman"/>
          <w:sz w:val="28"/>
          <w:szCs w:val="28"/>
          <w:lang w:val="uk-UA"/>
        </w:rPr>
        <w:t>Додаток до Програми</w:t>
      </w:r>
    </w:p>
    <w:p w:rsidR="000E7260" w:rsidRDefault="000E7260" w:rsidP="00272A6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272A6E" w:rsidRDefault="00C36000" w:rsidP="00272A6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Основні заходи та н</w:t>
      </w:r>
      <w:r w:rsidR="000D56C7"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апрямки </w:t>
      </w:r>
    </w:p>
    <w:p w:rsidR="000D56C7" w:rsidRDefault="000D56C7" w:rsidP="00272A6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використання коштів по </w:t>
      </w:r>
      <w:r w:rsidR="0027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</w:t>
      </w:r>
      <w:r w:rsidRPr="003B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рограмі</w:t>
      </w:r>
    </w:p>
    <w:p w:rsidR="00272A6E" w:rsidRPr="003B3727" w:rsidRDefault="00272A6E" w:rsidP="00272A6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248"/>
        <w:gridCol w:w="3461"/>
      </w:tblGrid>
      <w:tr w:rsidR="00504D75" w:rsidRPr="00272A6E" w:rsidTr="00A42C5B">
        <w:trPr>
          <w:trHeight w:hRule="exact" w:val="1003"/>
        </w:trPr>
        <w:tc>
          <w:tcPr>
            <w:tcW w:w="701" w:type="dxa"/>
            <w:shd w:val="clear" w:color="auto" w:fill="FFFFFF"/>
            <w:vAlign w:val="bottom"/>
          </w:tcPr>
          <w:p w:rsidR="00504D75" w:rsidRPr="00272A6E" w:rsidRDefault="00504D75" w:rsidP="00272A6E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504D75" w:rsidRPr="00272A6E" w:rsidRDefault="00504D75" w:rsidP="003B3727">
            <w:pPr>
              <w:widowControl w:val="0"/>
              <w:spacing w:before="120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п/п</w:t>
            </w:r>
          </w:p>
        </w:tc>
        <w:tc>
          <w:tcPr>
            <w:tcW w:w="5248" w:type="dxa"/>
            <w:shd w:val="clear" w:color="auto" w:fill="FFFFFF"/>
            <w:vAlign w:val="center"/>
          </w:tcPr>
          <w:p w:rsidR="00504D75" w:rsidRPr="00272A6E" w:rsidRDefault="00504D75" w:rsidP="003B3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Назва напрямку</w:t>
            </w:r>
          </w:p>
        </w:tc>
        <w:tc>
          <w:tcPr>
            <w:tcW w:w="3461" w:type="dxa"/>
            <w:shd w:val="clear" w:color="auto" w:fill="FFFFFF"/>
            <w:vAlign w:val="center"/>
          </w:tcPr>
          <w:p w:rsidR="00504D75" w:rsidRPr="00272A6E" w:rsidRDefault="00504D75" w:rsidP="003B3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Термін проведення</w:t>
            </w:r>
          </w:p>
        </w:tc>
      </w:tr>
      <w:tr w:rsidR="004B2DC7" w:rsidRPr="00272A6E" w:rsidTr="00A42C5B">
        <w:trPr>
          <w:trHeight w:hRule="exact" w:val="1345"/>
        </w:trPr>
        <w:tc>
          <w:tcPr>
            <w:tcW w:w="701" w:type="dxa"/>
            <w:shd w:val="clear" w:color="auto" w:fill="FFFFFF"/>
            <w:vAlign w:val="center"/>
          </w:tcPr>
          <w:p w:rsidR="004B2DC7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4B2DC7" w:rsidRPr="00272A6E" w:rsidRDefault="004B2DC7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Участь  аматорських колективів,  окремих виконавців з числа обдарованої молоді у Міжнародних, Всеукраїнських, обласних, районних фестивалях, конкурсах, святах тощо</w:t>
            </w:r>
          </w:p>
        </w:tc>
        <w:tc>
          <w:tcPr>
            <w:tcW w:w="3461" w:type="dxa"/>
            <w:shd w:val="clear" w:color="auto" w:fill="FFFFFF"/>
          </w:tcPr>
          <w:p w:rsidR="004B2DC7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301E68" w:rsidRPr="00272A6E" w:rsidTr="00A42C5B">
        <w:trPr>
          <w:trHeight w:hRule="exact" w:val="1124"/>
        </w:trPr>
        <w:tc>
          <w:tcPr>
            <w:tcW w:w="701" w:type="dxa"/>
            <w:shd w:val="clear" w:color="auto" w:fill="FFFFFF"/>
            <w:vAlign w:val="center"/>
          </w:tcPr>
          <w:p w:rsidR="00301E68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301E68" w:rsidRPr="00272A6E" w:rsidRDefault="00301E68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Участь кращих самодіяльних художників, майстрів декоративно-ужиткового мистецтва в регіональних, обласних і Всеукраїнських фестивалях, оглядах, виставках</w:t>
            </w:r>
          </w:p>
        </w:tc>
        <w:tc>
          <w:tcPr>
            <w:tcW w:w="3461" w:type="dxa"/>
            <w:shd w:val="clear" w:color="auto" w:fill="FFFFFF"/>
          </w:tcPr>
          <w:p w:rsidR="00301E68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325388" w:rsidRPr="00272A6E" w:rsidTr="00A42C5B">
        <w:trPr>
          <w:trHeight w:hRule="exact" w:val="573"/>
        </w:trPr>
        <w:tc>
          <w:tcPr>
            <w:tcW w:w="701" w:type="dxa"/>
            <w:shd w:val="clear" w:color="auto" w:fill="FFFFFF"/>
            <w:vAlign w:val="center"/>
          </w:tcPr>
          <w:p w:rsidR="00325388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325388" w:rsidRPr="00272A6E" w:rsidRDefault="00325388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Проведення поточних та капітальних ремонтів</w:t>
            </w:r>
          </w:p>
        </w:tc>
        <w:tc>
          <w:tcPr>
            <w:tcW w:w="3461" w:type="dxa"/>
            <w:shd w:val="clear" w:color="auto" w:fill="FFFFFF"/>
          </w:tcPr>
          <w:p w:rsidR="00325388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992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Придбання подарунків, сувенірної, квіткової продукції, грамот, </w:t>
            </w:r>
            <w:proofErr w:type="spellStart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нагороджувальних</w:t>
            </w:r>
            <w:proofErr w:type="spellEnd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листів, подяк та вітальних листівок для проведення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658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Оплата за фото та </w:t>
            </w:r>
            <w:r w:rsidR="00A42C5B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відео послуги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щодо висвітлення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355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Оплата за озвучення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350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Оплата за харчування учасників свят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1263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8</w:t>
            </w:r>
            <w:r w:rsid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Оплата за виготовлення та придбання афіш та запрошень до свят, періодичних видань, привітання із святами через засоби масової інформації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1483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FA3E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Придбання освітлювальної апаратури, костюмів та реквізиту,</w:t>
            </w:r>
            <w:r w:rsidR="00FA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поповнення бібліотечних </w:t>
            </w:r>
            <w:r w:rsidR="004A7A0E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фонд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ів</w:t>
            </w:r>
            <w:r w:rsidR="004A7A0E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придбання книжкової друкованої продукції для тематичних заходів</w:t>
            </w: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та інше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272A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DE2432" w:rsidRPr="00272A6E" w:rsidTr="00A42C5B">
        <w:trPr>
          <w:trHeight w:hRule="exact" w:val="1799"/>
        </w:trPr>
        <w:tc>
          <w:tcPr>
            <w:tcW w:w="701" w:type="dxa"/>
            <w:shd w:val="clear" w:color="auto" w:fill="FFFFFF"/>
            <w:vAlign w:val="center"/>
          </w:tcPr>
          <w:p w:rsidR="00DE2432" w:rsidRPr="00272A6E" w:rsidRDefault="00614F0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DE2432" w:rsidRPr="00272A6E" w:rsidRDefault="00DE2432" w:rsidP="00FA3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Охорона  та збереження культурної спадщини</w:t>
            </w:r>
            <w:r w:rsidR="00355688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паспортизація пам’яток археології та історії, встановлення охоронних зон, </w:t>
            </w:r>
            <w:r w:rsidR="00FA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уклада</w:t>
            </w:r>
            <w:r w:rsidR="00355688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ння охоронних договорів</w:t>
            </w:r>
          </w:p>
        </w:tc>
        <w:tc>
          <w:tcPr>
            <w:tcW w:w="3461" w:type="dxa"/>
            <w:shd w:val="clear" w:color="auto" w:fill="FFFFFF"/>
          </w:tcPr>
          <w:p w:rsidR="00DE2432" w:rsidRPr="00272A6E" w:rsidRDefault="00272A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29466E" w:rsidRPr="00272A6E" w:rsidTr="00A42C5B">
        <w:trPr>
          <w:trHeight w:hRule="exact" w:val="21"/>
        </w:trPr>
        <w:tc>
          <w:tcPr>
            <w:tcW w:w="701" w:type="dxa"/>
            <w:shd w:val="clear" w:color="auto" w:fill="FFFFFF"/>
            <w:vAlign w:val="center"/>
          </w:tcPr>
          <w:p w:rsidR="0029466E" w:rsidRPr="00272A6E" w:rsidRDefault="0029466E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248" w:type="dxa"/>
            <w:shd w:val="clear" w:color="auto" w:fill="FFFFFF"/>
          </w:tcPr>
          <w:p w:rsidR="0029466E" w:rsidRPr="00272A6E" w:rsidRDefault="0029466E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61" w:type="dxa"/>
            <w:shd w:val="clear" w:color="auto" w:fill="FFFFFF"/>
          </w:tcPr>
          <w:p w:rsidR="0029466E" w:rsidRPr="00272A6E" w:rsidRDefault="002946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8295A" w:rsidRPr="00272A6E" w:rsidTr="00A42C5B">
        <w:trPr>
          <w:trHeight w:hRule="exact" w:val="1574"/>
        </w:trPr>
        <w:tc>
          <w:tcPr>
            <w:tcW w:w="701" w:type="dxa"/>
            <w:shd w:val="clear" w:color="auto" w:fill="FFFFFF"/>
            <w:vAlign w:val="center"/>
          </w:tcPr>
          <w:p w:rsidR="0068295A" w:rsidRPr="00272A6E" w:rsidRDefault="00924865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614F0E"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A42C5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68295A" w:rsidRPr="00272A6E" w:rsidRDefault="0068295A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Організація  роботи по комп’ютеризації основних процесів бібліотечної роботи, забезпечення участі бібліотек у інформаційно-бібліотечних проектах, створення читацьких </w:t>
            </w:r>
            <w:proofErr w:type="spellStart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Інтернет-центрів</w:t>
            </w:r>
            <w:proofErr w:type="spellEnd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оплата </w:t>
            </w:r>
            <w:proofErr w:type="spellStart"/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Інтернет-зв’язку</w:t>
            </w:r>
            <w:proofErr w:type="spellEnd"/>
          </w:p>
        </w:tc>
        <w:tc>
          <w:tcPr>
            <w:tcW w:w="3461" w:type="dxa"/>
            <w:shd w:val="clear" w:color="auto" w:fill="FFFFFF"/>
          </w:tcPr>
          <w:p w:rsidR="0068295A" w:rsidRPr="00272A6E" w:rsidRDefault="00272A6E" w:rsidP="00A42C5B">
            <w:pPr>
              <w:widowControl w:val="0"/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9D7EA4" w:rsidRPr="00272A6E" w:rsidTr="00A42C5B">
        <w:trPr>
          <w:trHeight w:hRule="exact" w:val="1063"/>
        </w:trPr>
        <w:tc>
          <w:tcPr>
            <w:tcW w:w="701" w:type="dxa"/>
            <w:shd w:val="clear" w:color="auto" w:fill="FFFFFF"/>
            <w:vAlign w:val="center"/>
          </w:tcPr>
          <w:p w:rsidR="009D7EA4" w:rsidRPr="00272A6E" w:rsidRDefault="00924865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</w:t>
            </w:r>
            <w:r w:rsidR="00614F0E" w:rsidRPr="00272A6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A42C5B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9D7EA4" w:rsidRPr="00272A6E" w:rsidRDefault="009D7EA4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передплати періодичних видань українською мовою для централізованої бібліотечної системи</w:t>
            </w:r>
          </w:p>
        </w:tc>
        <w:tc>
          <w:tcPr>
            <w:tcW w:w="3461" w:type="dxa"/>
            <w:shd w:val="clear" w:color="auto" w:fill="FFFFFF"/>
          </w:tcPr>
          <w:p w:rsidR="00A42C5B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</w:t>
            </w:r>
            <w:r w:rsidR="0038780F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ересень – листопад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9D7EA4" w:rsidRPr="00272A6E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04D75" w:rsidRPr="00272A6E" w:rsidTr="00A42C5B">
        <w:trPr>
          <w:trHeight w:hRule="exact" w:val="461"/>
        </w:trPr>
        <w:tc>
          <w:tcPr>
            <w:tcW w:w="701" w:type="dxa"/>
            <w:shd w:val="clear" w:color="auto" w:fill="FFFFFF"/>
            <w:vAlign w:val="center"/>
          </w:tcPr>
          <w:p w:rsidR="00504D75" w:rsidRPr="00272A6E" w:rsidRDefault="00924865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614F0E"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A4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504D75" w:rsidRPr="00272A6E" w:rsidRDefault="00504D75" w:rsidP="00272A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Придбання господарчих та канцтоварів</w:t>
            </w:r>
          </w:p>
        </w:tc>
        <w:tc>
          <w:tcPr>
            <w:tcW w:w="3461" w:type="dxa"/>
            <w:shd w:val="clear" w:color="auto" w:fill="FFFFFF"/>
          </w:tcPr>
          <w:p w:rsidR="00504D75" w:rsidRPr="00272A6E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4F60BF" w:rsidRPr="00272A6E" w:rsidTr="00A42C5B">
        <w:trPr>
          <w:trHeight w:hRule="exact" w:val="744"/>
        </w:trPr>
        <w:tc>
          <w:tcPr>
            <w:tcW w:w="701" w:type="dxa"/>
            <w:shd w:val="clear" w:color="auto" w:fill="FFFFFF"/>
            <w:vAlign w:val="center"/>
          </w:tcPr>
          <w:p w:rsidR="004F60BF" w:rsidRPr="00272A6E" w:rsidRDefault="00393406" w:rsidP="00272A6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614F0E" w:rsidRPr="00272A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="00A42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5248" w:type="dxa"/>
            <w:shd w:val="clear" w:color="auto" w:fill="FFFFFF"/>
          </w:tcPr>
          <w:p w:rsidR="004F60BF" w:rsidRPr="00272A6E" w:rsidRDefault="004F60BF" w:rsidP="00272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заходів з охорони праці та протипожежної безпеки у закладах культури</w:t>
            </w:r>
          </w:p>
        </w:tc>
        <w:tc>
          <w:tcPr>
            <w:tcW w:w="3461" w:type="dxa"/>
            <w:shd w:val="clear" w:color="auto" w:fill="FFFFFF"/>
          </w:tcPr>
          <w:p w:rsidR="004F60BF" w:rsidRPr="00272A6E" w:rsidRDefault="00A42C5B" w:rsidP="00A4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Протягом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0D56C7" w:rsidRPr="00272A6E" w:rsidRDefault="000D56C7" w:rsidP="003B37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D1B5E" w:rsidRDefault="006D1B5E" w:rsidP="00A0776C">
      <w:pPr>
        <w:pStyle w:val="Default"/>
        <w:jc w:val="center"/>
        <w:rPr>
          <w:b/>
          <w:color w:val="auto"/>
          <w:lang w:val="uk-UA"/>
        </w:rPr>
      </w:pPr>
    </w:p>
    <w:p w:rsidR="00A0776C" w:rsidRPr="00FA3EE3" w:rsidRDefault="00A0776C" w:rsidP="00A0776C">
      <w:pPr>
        <w:pStyle w:val="Default"/>
        <w:jc w:val="center"/>
        <w:rPr>
          <w:b/>
          <w:color w:val="auto"/>
          <w:lang w:val="uk-UA"/>
        </w:rPr>
      </w:pPr>
      <w:r w:rsidRPr="00FA3EE3">
        <w:rPr>
          <w:b/>
          <w:color w:val="auto"/>
          <w:lang w:val="uk-UA"/>
        </w:rPr>
        <w:t xml:space="preserve">Перелік </w:t>
      </w:r>
      <w:r w:rsidRPr="00FA3EE3">
        <w:rPr>
          <w:b/>
          <w:bCs/>
          <w:color w:val="auto"/>
          <w:lang w:val="uk-UA"/>
        </w:rPr>
        <w:t>державних та інших  свят, пам’ятних дат  і подій</w:t>
      </w:r>
      <w:r w:rsidRPr="00FA3EE3">
        <w:rPr>
          <w:b/>
          <w:color w:val="auto"/>
          <w:lang w:val="uk-UA"/>
        </w:rPr>
        <w:t xml:space="preserve"> , що  фінансуються сільською  радою у 2021-2022 роках</w:t>
      </w:r>
    </w:p>
    <w:p w:rsidR="00A0776C" w:rsidRPr="00FA3EE3" w:rsidRDefault="00A0776C" w:rsidP="00A42C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BC3A1A" w:rsidRPr="00FA3EE3" w:rsidRDefault="00A42C5B" w:rsidP="00A42C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</w:t>
      </w:r>
      <w:r w:rsidR="00BC3A1A"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ержавні свята: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22 січня – День  Соборності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15 лютого – День  вшанування  учасників бойових  дій  на  території  інших  держав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8 </w:t>
      </w:r>
      <w:r w:rsidR="0052372E" w:rsidRPr="00FA3EE3">
        <w:rPr>
          <w:color w:val="auto"/>
          <w:lang w:val="uk-UA"/>
        </w:rPr>
        <w:t>травня -</w:t>
      </w:r>
      <w:r w:rsidRPr="00FA3EE3">
        <w:rPr>
          <w:color w:val="auto"/>
          <w:lang w:val="uk-UA"/>
        </w:rPr>
        <w:t xml:space="preserve"> День пам’яті та примирення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9 травня - </w:t>
      </w:r>
      <w:hyperlink r:id="rId8" w:history="1">
        <w:r w:rsidRPr="00FA3EE3">
          <w:rPr>
            <w:rStyle w:val="ac"/>
            <w:color w:val="auto"/>
            <w:u w:val="none"/>
            <w:lang w:val="uk-UA"/>
          </w:rPr>
          <w:t>День перемоги над нацизмом у Другій світовій війні</w:t>
        </w:r>
      </w:hyperlink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28 червня – День Конституції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23 серпня – День  державного  Прапора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24 серпня – День Незалежності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1 вересня - День  знань 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14 жовтня -  День захисника  України; </w:t>
      </w:r>
      <w:hyperlink r:id="rId9" w:history="1">
        <w:r w:rsidRPr="00FA3EE3">
          <w:rPr>
            <w:rStyle w:val="ac"/>
            <w:color w:val="auto"/>
            <w:u w:val="none"/>
            <w:lang w:val="uk-UA"/>
          </w:rPr>
          <w:t>День Українського козацтва</w:t>
        </w:r>
      </w:hyperlink>
      <w:r w:rsidRPr="00FA3EE3">
        <w:rPr>
          <w:color w:val="auto"/>
          <w:lang w:val="uk-UA"/>
        </w:rPr>
        <w:t>, </w:t>
      </w:r>
      <w:hyperlink r:id="rId10" w:tooltip="Покрова Пресвятої Богородиці" w:history="1">
        <w:r w:rsidRPr="00FA3EE3">
          <w:rPr>
            <w:rStyle w:val="ac"/>
            <w:color w:val="auto"/>
            <w:u w:val="none"/>
            <w:lang w:val="uk-UA"/>
          </w:rPr>
          <w:t>Покрова Пресвятої Богородиці</w:t>
        </w:r>
      </w:hyperlink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28 жовтня – День  визволення  України  від  фашистських  загарбників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21 листопада – День  гідності і свободи</w:t>
      </w:r>
    </w:p>
    <w:p w:rsidR="00A0776C" w:rsidRPr="00FA3EE3" w:rsidRDefault="00A0776C" w:rsidP="00A0776C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color w:val="auto"/>
          <w:lang w:val="uk-UA"/>
        </w:rPr>
        <w:t xml:space="preserve">6 грудня - </w:t>
      </w:r>
      <w:r w:rsidRPr="00FA3EE3">
        <w:rPr>
          <w:bCs/>
          <w:color w:val="auto"/>
          <w:shd w:val="clear" w:color="auto" w:fill="FFFFFF"/>
          <w:lang w:val="uk-UA"/>
        </w:rPr>
        <w:t>День Збройних Сил України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</w:p>
    <w:p w:rsidR="00A0776C" w:rsidRPr="00FA3EE3" w:rsidRDefault="00A0776C" w:rsidP="00A077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b/>
          <w:sz w:val="24"/>
          <w:szCs w:val="24"/>
          <w:lang w:val="uk-UA"/>
        </w:rPr>
        <w:t>Дні жалоби  і  скорботи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20 лютого – День Героїв  Небесної  Сотні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День пам'яті жертв політичних репресій</w:t>
      </w:r>
      <w:r w:rsidRPr="00FA3EE3">
        <w:rPr>
          <w:color w:val="auto"/>
          <w:shd w:val="clear" w:color="auto" w:fill="FFFFFF"/>
        </w:rPr>
        <w:t> </w:t>
      </w:r>
      <w:r w:rsidRPr="00FA3EE3">
        <w:rPr>
          <w:color w:val="auto"/>
          <w:shd w:val="clear" w:color="auto" w:fill="FFFFFF"/>
          <w:lang w:val="uk-UA"/>
        </w:rPr>
        <w:t>(</w:t>
      </w:r>
      <w:r w:rsidRPr="00FA3EE3">
        <w:rPr>
          <w:color w:val="auto"/>
        </w:rPr>
        <w:t>трет</w:t>
      </w:r>
      <w:r w:rsidRPr="00FA3EE3">
        <w:rPr>
          <w:color w:val="auto"/>
          <w:lang w:val="uk-UA"/>
        </w:rPr>
        <w:t>я</w:t>
      </w:r>
      <w:r w:rsidRPr="00FA3EE3">
        <w:rPr>
          <w:color w:val="auto"/>
        </w:rPr>
        <w:t xml:space="preserve"> неділ</w:t>
      </w:r>
      <w:r w:rsidRPr="00FA3EE3">
        <w:rPr>
          <w:color w:val="auto"/>
          <w:lang w:val="uk-UA"/>
        </w:rPr>
        <w:t>я</w:t>
      </w:r>
      <w:r w:rsidRPr="00FA3EE3">
        <w:rPr>
          <w:color w:val="auto"/>
        </w:rPr>
        <w:t> </w:t>
      </w:r>
      <w:hyperlink r:id="rId11" w:tooltip="Травень" w:history="1">
        <w:r w:rsidRPr="00FA3EE3">
          <w:rPr>
            <w:rStyle w:val="ac"/>
            <w:color w:val="auto"/>
            <w:u w:val="none"/>
          </w:rPr>
          <w:t>травня</w:t>
        </w:r>
      </w:hyperlink>
      <w:r w:rsidRPr="00FA3EE3">
        <w:rPr>
          <w:color w:val="auto"/>
        </w:rPr>
        <w:t>)</w:t>
      </w:r>
    </w:p>
    <w:p w:rsidR="00A0776C" w:rsidRPr="00FA3EE3" w:rsidRDefault="00A0776C" w:rsidP="00A0776C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22 червня – День  скорботи  і вшанування пам’яті жертв війни в Україні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29 серпня  - День пам’яті захисників, які загинули в боротьбі за незалежність, суверенітет і територіальну цілісність України</w:t>
      </w:r>
    </w:p>
    <w:p w:rsidR="00A0776C" w:rsidRPr="00FA3EE3" w:rsidRDefault="00A0776C" w:rsidP="00A07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</w:rPr>
        <w:t>День пам'яті жертв голодомор</w:t>
      </w:r>
      <w:r w:rsidRPr="00FA3EE3">
        <w:rPr>
          <w:rFonts w:ascii="Times New Roman" w:hAnsi="Times New Roman" w:cs="Times New Roman"/>
          <w:sz w:val="24"/>
          <w:szCs w:val="24"/>
          <w:lang w:val="uk-UA"/>
        </w:rPr>
        <w:t>у (четверта субота листопада)</w:t>
      </w:r>
    </w:p>
    <w:p w:rsidR="0052372E" w:rsidRPr="00FA3EE3" w:rsidRDefault="0052372E" w:rsidP="00A07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372E" w:rsidRPr="00FA3EE3" w:rsidRDefault="0052372E" w:rsidP="0052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b/>
          <w:sz w:val="24"/>
          <w:szCs w:val="24"/>
          <w:lang w:val="uk-UA"/>
        </w:rPr>
        <w:t>Міжнародні Дні</w:t>
      </w:r>
      <w:r w:rsidR="004D5137" w:rsidRPr="00FA3E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інші свята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8 березня -  Міжнародний  жіночий  день</w:t>
      </w:r>
    </w:p>
    <w:p w:rsidR="0052372E" w:rsidRPr="00FA3EE3" w:rsidRDefault="0052372E" w:rsidP="005237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  <w:lang w:val="uk-UA"/>
        </w:rPr>
        <w:t xml:space="preserve">1 травня - </w:t>
      </w:r>
      <w:r w:rsidRPr="00FA3E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Міжнародний день праці</w:t>
      </w:r>
      <w:r w:rsidRPr="00FA3E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</w:p>
    <w:p w:rsidR="0052372E" w:rsidRPr="00FA3EE3" w:rsidRDefault="0052372E" w:rsidP="0052372E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1 червня – Міжнародний День  захисту  дітей </w:t>
      </w:r>
    </w:p>
    <w:p w:rsidR="0052372E" w:rsidRPr="00FA3EE3" w:rsidRDefault="0052372E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1 жовтня -  Міжнар</w:t>
      </w:r>
      <w:r w:rsidR="000E7260" w:rsidRPr="00FA3EE3">
        <w:rPr>
          <w:bCs/>
          <w:color w:val="auto"/>
          <w:shd w:val="clear" w:color="auto" w:fill="FFFFFF"/>
          <w:lang w:val="uk-UA"/>
        </w:rPr>
        <w:t>о</w:t>
      </w:r>
      <w:r w:rsidRPr="00FA3EE3">
        <w:rPr>
          <w:bCs/>
          <w:color w:val="auto"/>
          <w:shd w:val="clear" w:color="auto" w:fill="FFFFFF"/>
          <w:lang w:val="uk-UA"/>
        </w:rPr>
        <w:t>дний день люд</w:t>
      </w:r>
      <w:r w:rsidR="000E7260" w:rsidRPr="00FA3EE3">
        <w:rPr>
          <w:bCs/>
          <w:color w:val="auto"/>
          <w:shd w:val="clear" w:color="auto" w:fill="FFFFFF"/>
          <w:lang w:val="uk-UA"/>
        </w:rPr>
        <w:t>е</w:t>
      </w:r>
      <w:r w:rsidRPr="00FA3EE3">
        <w:rPr>
          <w:bCs/>
          <w:color w:val="auto"/>
          <w:shd w:val="clear" w:color="auto" w:fill="FFFFFF"/>
          <w:lang w:val="uk-UA"/>
        </w:rPr>
        <w:t>й пох</w:t>
      </w:r>
      <w:r w:rsidR="000E7260" w:rsidRPr="00FA3EE3">
        <w:rPr>
          <w:bCs/>
          <w:color w:val="auto"/>
          <w:shd w:val="clear" w:color="auto" w:fill="FFFFFF"/>
          <w:lang w:val="uk-UA"/>
        </w:rPr>
        <w:t>и</w:t>
      </w:r>
      <w:r w:rsidRPr="00FA3EE3">
        <w:rPr>
          <w:bCs/>
          <w:color w:val="auto"/>
          <w:shd w:val="clear" w:color="auto" w:fill="FFFFFF"/>
          <w:lang w:val="uk-UA"/>
        </w:rPr>
        <w:t>лого в</w:t>
      </w:r>
      <w:r w:rsidR="000E7260" w:rsidRPr="00FA3EE3">
        <w:rPr>
          <w:bCs/>
          <w:color w:val="auto"/>
          <w:shd w:val="clear" w:color="auto" w:fill="FFFFFF"/>
          <w:lang w:val="uk-UA"/>
        </w:rPr>
        <w:t>і</w:t>
      </w:r>
      <w:r w:rsidRPr="00FA3EE3">
        <w:rPr>
          <w:bCs/>
          <w:color w:val="auto"/>
          <w:shd w:val="clear" w:color="auto" w:fill="FFFFFF"/>
          <w:lang w:val="uk-UA"/>
        </w:rPr>
        <w:t>ку, День ветерана</w:t>
      </w:r>
    </w:p>
    <w:p w:rsidR="0052372E" w:rsidRPr="00FA3EE3" w:rsidRDefault="0052372E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3 грудня – Міжнародний День людей з інвалідністю</w:t>
      </w:r>
    </w:p>
    <w:p w:rsidR="0052372E" w:rsidRPr="00FA3EE3" w:rsidRDefault="0052372E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FA3EE3">
        <w:rPr>
          <w:bCs/>
          <w:color w:val="auto"/>
          <w:shd w:val="clear" w:color="auto" w:fill="FFFFFF"/>
          <w:lang w:val="uk-UA"/>
        </w:rPr>
        <w:t>5 грудня - Міжнародний день волонтерів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15 лютого - День вшанування учасників бойових дій на території інших держав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  <w:lang w:val="uk-UA"/>
        </w:rPr>
        <w:t>14 грудня - День вшанування учасників ліквідації наслідків аварії на Чорнобильській АЕС</w:t>
      </w:r>
    </w:p>
    <w:p w:rsidR="000E7260" w:rsidRPr="00FA3EE3" w:rsidRDefault="000E7260" w:rsidP="0052372E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</w:p>
    <w:p w:rsidR="000E7260" w:rsidRPr="00FA3EE3" w:rsidRDefault="000E7260" w:rsidP="000E7260">
      <w:pPr>
        <w:pStyle w:val="Default"/>
        <w:jc w:val="center"/>
        <w:rPr>
          <w:b/>
          <w:color w:val="auto"/>
          <w:lang w:val="uk-UA"/>
        </w:rPr>
      </w:pPr>
      <w:r w:rsidRPr="00FA3EE3">
        <w:rPr>
          <w:b/>
          <w:color w:val="auto"/>
          <w:lang w:val="uk-UA"/>
        </w:rPr>
        <w:t>Професійні свята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 медичного  працівника (третя  неділя  червня)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підприємця (перша неділя вересня)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27 вересня День дошкільного  працівника 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30 вересня Всеукраїнський  день  бібліотек 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 вчителя (перша  неділя  жовтня)</w:t>
      </w:r>
    </w:p>
    <w:p w:rsidR="000E7260" w:rsidRPr="00FA3EE3" w:rsidRDefault="00FA3EE3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9 жовтня </w:t>
      </w:r>
      <w:r>
        <w:rPr>
          <w:color w:val="auto"/>
          <w:lang w:val="uk-UA"/>
        </w:rPr>
        <w:t xml:space="preserve"> - </w:t>
      </w:r>
      <w:r w:rsidR="000E7260" w:rsidRPr="00FA3EE3">
        <w:rPr>
          <w:color w:val="auto"/>
          <w:lang w:val="uk-UA"/>
        </w:rPr>
        <w:t xml:space="preserve">Всесвітній  день  </w:t>
      </w:r>
      <w:r>
        <w:rPr>
          <w:color w:val="auto"/>
          <w:lang w:val="uk-UA"/>
        </w:rPr>
        <w:t xml:space="preserve">пошти </w:t>
      </w:r>
      <w:r w:rsidR="000E7260" w:rsidRPr="00FA3EE3">
        <w:rPr>
          <w:color w:val="auto"/>
          <w:lang w:val="uk-UA"/>
        </w:rPr>
        <w:t xml:space="preserve"> </w:t>
      </w:r>
    </w:p>
    <w:p w:rsidR="000E7260" w:rsidRPr="00FA3EE3" w:rsidRDefault="00FA3EE3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lastRenderedPageBreak/>
        <w:t xml:space="preserve">9 листопада </w:t>
      </w:r>
      <w:r>
        <w:rPr>
          <w:color w:val="auto"/>
          <w:lang w:val="uk-UA"/>
        </w:rPr>
        <w:t xml:space="preserve">- </w:t>
      </w:r>
      <w:r w:rsidR="000E7260" w:rsidRPr="00FA3EE3">
        <w:rPr>
          <w:color w:val="auto"/>
          <w:lang w:val="uk-UA"/>
        </w:rPr>
        <w:t>Всеукраїнський  день  працівників  культури та майстрів на</w:t>
      </w:r>
      <w:r>
        <w:rPr>
          <w:color w:val="auto"/>
          <w:lang w:val="uk-UA"/>
        </w:rPr>
        <w:t xml:space="preserve">родного мистецтва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працівника соціальної сфери (перша неділя листопада)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 працівників  сільського  господарства (третя  неділя  листопада)</w:t>
      </w:r>
    </w:p>
    <w:p w:rsidR="000E7260" w:rsidRPr="00FA3EE3" w:rsidRDefault="00E4173E" w:rsidP="000E7260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7 грудня </w:t>
      </w:r>
      <w:r>
        <w:rPr>
          <w:color w:val="auto"/>
          <w:lang w:val="uk-UA"/>
        </w:rPr>
        <w:t xml:space="preserve">- </w:t>
      </w:r>
      <w:r w:rsidR="000E7260" w:rsidRPr="00FA3EE3">
        <w:rPr>
          <w:color w:val="auto"/>
          <w:lang w:val="uk-UA"/>
        </w:rPr>
        <w:t>Де</w:t>
      </w:r>
      <w:r>
        <w:rPr>
          <w:color w:val="auto"/>
          <w:lang w:val="uk-UA"/>
        </w:rPr>
        <w:t xml:space="preserve">нь  місцевого  самоврядування </w:t>
      </w:r>
    </w:p>
    <w:p w:rsidR="000E7260" w:rsidRPr="00FA3EE3" w:rsidRDefault="000E7260" w:rsidP="000E7260">
      <w:pPr>
        <w:pStyle w:val="Default"/>
        <w:jc w:val="both"/>
        <w:rPr>
          <w:color w:val="auto"/>
          <w:lang w:val="uk-UA"/>
        </w:rPr>
      </w:pPr>
    </w:p>
    <w:p w:rsidR="004D5137" w:rsidRPr="00FA3EE3" w:rsidRDefault="004D5137" w:rsidP="004D5137">
      <w:pPr>
        <w:pStyle w:val="Default"/>
        <w:jc w:val="center"/>
        <w:rPr>
          <w:b/>
          <w:color w:val="auto"/>
          <w:lang w:val="uk-UA"/>
        </w:rPr>
      </w:pPr>
      <w:r w:rsidRPr="00FA3EE3">
        <w:rPr>
          <w:b/>
          <w:color w:val="auto"/>
          <w:lang w:val="uk-UA"/>
        </w:rPr>
        <w:t>Традиційні та  місцеві та свята: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7 – 8 січня День  визволення населених  пунктів  сільської  ради  від німецько-фашистських  загарбників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Новий Рік  та  </w:t>
      </w:r>
      <w:r w:rsidRPr="00FA3EE3">
        <w:rPr>
          <w:color w:val="auto"/>
          <w:lang w:val="uk-UA" w:bidi="en-US"/>
        </w:rPr>
        <w:t xml:space="preserve">Різдво Христове </w:t>
      </w:r>
      <w:r w:rsidRPr="00FA3EE3">
        <w:rPr>
          <w:color w:val="auto"/>
          <w:lang w:val="uk-UA"/>
        </w:rPr>
        <w:t>(грудень-січень)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Масляна (лютий-березень)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 w:bidi="en-US"/>
        </w:rPr>
      </w:pPr>
      <w:r w:rsidRPr="00FA3EE3">
        <w:rPr>
          <w:color w:val="auto"/>
          <w:lang w:val="uk-UA" w:bidi="en-US"/>
        </w:rPr>
        <w:t>Воскресіння Христове (Великдень)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святої Трійці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13 травня - День матері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>День молоді (остання неділя червня)</w:t>
      </w:r>
    </w:p>
    <w:p w:rsidR="004D5137" w:rsidRPr="00FA3EE3" w:rsidRDefault="00FA3EE3" w:rsidP="004D5137">
      <w:pPr>
        <w:pStyle w:val="Default"/>
        <w:jc w:val="both"/>
        <w:rPr>
          <w:color w:val="auto"/>
          <w:lang w:val="uk-UA"/>
        </w:rPr>
      </w:pPr>
      <w:r w:rsidRPr="00FA3EE3">
        <w:rPr>
          <w:color w:val="auto"/>
          <w:lang w:val="uk-UA"/>
        </w:rPr>
        <w:t xml:space="preserve">7 липня -  </w:t>
      </w:r>
      <w:r w:rsidR="004D5137" w:rsidRPr="00FA3EE3">
        <w:rPr>
          <w:color w:val="auto"/>
          <w:lang w:val="uk-UA"/>
        </w:rPr>
        <w:t xml:space="preserve">Івана купала </w:t>
      </w:r>
    </w:p>
    <w:p w:rsidR="00FA3EE3" w:rsidRPr="00FA3EE3" w:rsidRDefault="00FA3EE3" w:rsidP="00FA3E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EE3">
        <w:rPr>
          <w:rFonts w:ascii="Times New Roman" w:hAnsi="Times New Roman" w:cs="Times New Roman"/>
          <w:sz w:val="24"/>
          <w:szCs w:val="24"/>
          <w:lang w:val="uk-UA"/>
        </w:rPr>
        <w:t>8 липня</w:t>
      </w: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– </w:t>
      </w:r>
      <w:r w:rsidRPr="00FA3EE3">
        <w:rPr>
          <w:rFonts w:ascii="Times New Roman" w:hAnsi="Times New Roman" w:cs="Times New Roman"/>
          <w:sz w:val="24"/>
          <w:szCs w:val="24"/>
          <w:lang w:val="uk-UA"/>
        </w:rPr>
        <w:t xml:space="preserve">День родини </w:t>
      </w:r>
    </w:p>
    <w:p w:rsidR="00FA3EE3" w:rsidRPr="00FA3EE3" w:rsidRDefault="00FA3EE3" w:rsidP="00FA3E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19 грудня - День Святого Миколая</w:t>
      </w:r>
    </w:p>
    <w:p w:rsidR="004D5137" w:rsidRPr="00FA3EE3" w:rsidRDefault="004D5137" w:rsidP="004D5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Дні народження сіл Великосеверинівської  сільської територіальної громади </w:t>
      </w:r>
    </w:p>
    <w:p w:rsidR="004D5137" w:rsidRPr="00FA3EE3" w:rsidRDefault="004D5137" w:rsidP="004D5137">
      <w:pPr>
        <w:pStyle w:val="Default"/>
        <w:jc w:val="both"/>
        <w:rPr>
          <w:color w:val="auto"/>
          <w:lang w:val="uk-UA"/>
        </w:rPr>
      </w:pPr>
    </w:p>
    <w:p w:rsidR="008D3A68" w:rsidRPr="00FA3EE3" w:rsidRDefault="006C28ED" w:rsidP="00C06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Фестивалі, конкурси</w:t>
      </w:r>
      <w:r w:rsidR="00D5624A"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BC3A1A" w:rsidRPr="00FA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тематичні та інші заходи :</w:t>
      </w:r>
    </w:p>
    <w:p w:rsidR="00C06689" w:rsidRPr="00FA3EE3" w:rsidRDefault="00C06689" w:rsidP="00C066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BC3A1A" w:rsidRPr="00FA3EE3" w:rsidRDefault="00BC3A1A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Лютий - Літературна година «Шевченківські читання»</w:t>
      </w:r>
    </w:p>
    <w:p w:rsidR="00053870" w:rsidRPr="00FA3EE3" w:rsidRDefault="006C28ED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Лютий – Березень - </w:t>
      </w:r>
      <w:r w:rsidR="00053870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Фестиваль-конкурс «Сузір’я талантів»</w:t>
      </w:r>
    </w:p>
    <w:p w:rsidR="008D3A68" w:rsidRPr="00FA3EE3" w:rsidRDefault="00BC3A1A" w:rsidP="003B372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21 березня - 1 квітня - Всеукраїнський тиждень </w:t>
      </w:r>
      <w:r w:rsidR="008D3A68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дитячої</w:t>
      </w:r>
      <w:r w:rsidR="00FA3EE3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юнацької книги</w:t>
      </w:r>
    </w:p>
    <w:p w:rsidR="006C28ED" w:rsidRDefault="00FA3EE3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Жовтень </w:t>
      </w:r>
      <w:r w:rsidR="006C28ED" w:rsidRPr="00FA3E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– Фестиваль «Інгульські зорі»</w:t>
      </w:r>
    </w:p>
    <w:p w:rsidR="00E4173E" w:rsidRDefault="00E4173E" w:rsidP="003B3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4173E" w:rsidRPr="00FA3EE3" w:rsidRDefault="00E4173E" w:rsidP="00E41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___________________________________</w:t>
      </w:r>
    </w:p>
    <w:sectPr w:rsidR="00E4173E" w:rsidRPr="00FA3EE3" w:rsidSect="0019768C">
      <w:footerReference w:type="default" r:id="rId12"/>
      <w:pgSz w:w="11906" w:h="16838"/>
      <w:pgMar w:top="28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C8" w:rsidRDefault="009978C8" w:rsidP="0070748D">
      <w:pPr>
        <w:spacing w:after="0" w:line="240" w:lineRule="auto"/>
      </w:pPr>
      <w:r>
        <w:separator/>
      </w:r>
    </w:p>
  </w:endnote>
  <w:endnote w:type="continuationSeparator" w:id="1">
    <w:p w:rsidR="009978C8" w:rsidRDefault="009978C8" w:rsidP="0070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0D" w:rsidRDefault="0036430D" w:rsidP="0036430D">
    <w:pPr>
      <w:pStyle w:val="a7"/>
      <w:tabs>
        <w:tab w:val="clea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C8" w:rsidRDefault="009978C8" w:rsidP="0070748D">
      <w:pPr>
        <w:spacing w:after="0" w:line="240" w:lineRule="auto"/>
      </w:pPr>
      <w:r>
        <w:separator/>
      </w:r>
    </w:p>
  </w:footnote>
  <w:footnote w:type="continuationSeparator" w:id="1">
    <w:p w:rsidR="009978C8" w:rsidRDefault="009978C8" w:rsidP="0070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C2A"/>
    <w:multiLevelType w:val="multilevel"/>
    <w:tmpl w:val="BDE0D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52D66"/>
    <w:multiLevelType w:val="multilevel"/>
    <w:tmpl w:val="BE0204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9591B"/>
    <w:multiLevelType w:val="multilevel"/>
    <w:tmpl w:val="773CB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20B6"/>
    <w:multiLevelType w:val="multilevel"/>
    <w:tmpl w:val="2B945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60A"/>
    <w:multiLevelType w:val="multilevel"/>
    <w:tmpl w:val="4C8850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15E5A"/>
    <w:rsid w:val="00022257"/>
    <w:rsid w:val="00033CD1"/>
    <w:rsid w:val="00041274"/>
    <w:rsid w:val="00053870"/>
    <w:rsid w:val="00057071"/>
    <w:rsid w:val="000830C6"/>
    <w:rsid w:val="0009008D"/>
    <w:rsid w:val="00090CFC"/>
    <w:rsid w:val="0009727A"/>
    <w:rsid w:val="000973E2"/>
    <w:rsid w:val="000B5CE4"/>
    <w:rsid w:val="000D56C7"/>
    <w:rsid w:val="000E7260"/>
    <w:rsid w:val="000F19B3"/>
    <w:rsid w:val="001115A7"/>
    <w:rsid w:val="0012084D"/>
    <w:rsid w:val="00122DBA"/>
    <w:rsid w:val="00157A31"/>
    <w:rsid w:val="00157A6C"/>
    <w:rsid w:val="00185664"/>
    <w:rsid w:val="0019768C"/>
    <w:rsid w:val="001D396E"/>
    <w:rsid w:val="001F3AE6"/>
    <w:rsid w:val="0025765C"/>
    <w:rsid w:val="00271701"/>
    <w:rsid w:val="00272A6E"/>
    <w:rsid w:val="0027623B"/>
    <w:rsid w:val="0029466E"/>
    <w:rsid w:val="002A7D2A"/>
    <w:rsid w:val="002C6616"/>
    <w:rsid w:val="002F31F2"/>
    <w:rsid w:val="00301E68"/>
    <w:rsid w:val="003053B2"/>
    <w:rsid w:val="00314DAD"/>
    <w:rsid w:val="00316768"/>
    <w:rsid w:val="00325388"/>
    <w:rsid w:val="00340AFE"/>
    <w:rsid w:val="00343C1D"/>
    <w:rsid w:val="00355688"/>
    <w:rsid w:val="00357091"/>
    <w:rsid w:val="00361624"/>
    <w:rsid w:val="0036430D"/>
    <w:rsid w:val="0038780F"/>
    <w:rsid w:val="00393406"/>
    <w:rsid w:val="003B3727"/>
    <w:rsid w:val="003F54AE"/>
    <w:rsid w:val="00437D33"/>
    <w:rsid w:val="00440D97"/>
    <w:rsid w:val="00452BE0"/>
    <w:rsid w:val="00456BBB"/>
    <w:rsid w:val="00487505"/>
    <w:rsid w:val="004A38F2"/>
    <w:rsid w:val="004A7A0E"/>
    <w:rsid w:val="004B2DC7"/>
    <w:rsid w:val="004B3942"/>
    <w:rsid w:val="004B613B"/>
    <w:rsid w:val="004C613A"/>
    <w:rsid w:val="004D5137"/>
    <w:rsid w:val="004D6757"/>
    <w:rsid w:val="004F60BF"/>
    <w:rsid w:val="004F6697"/>
    <w:rsid w:val="00502F71"/>
    <w:rsid w:val="00504D75"/>
    <w:rsid w:val="005151D3"/>
    <w:rsid w:val="0052372E"/>
    <w:rsid w:val="00556489"/>
    <w:rsid w:val="00565F74"/>
    <w:rsid w:val="00614F0E"/>
    <w:rsid w:val="00633F36"/>
    <w:rsid w:val="00644CD3"/>
    <w:rsid w:val="006544F8"/>
    <w:rsid w:val="00656114"/>
    <w:rsid w:val="0067229F"/>
    <w:rsid w:val="00680449"/>
    <w:rsid w:val="0068295A"/>
    <w:rsid w:val="006C28ED"/>
    <w:rsid w:val="006D1B5E"/>
    <w:rsid w:val="0070748D"/>
    <w:rsid w:val="0073472F"/>
    <w:rsid w:val="00742E4D"/>
    <w:rsid w:val="00765D67"/>
    <w:rsid w:val="00767972"/>
    <w:rsid w:val="007C3BE9"/>
    <w:rsid w:val="007C662A"/>
    <w:rsid w:val="007C6A03"/>
    <w:rsid w:val="007D1E78"/>
    <w:rsid w:val="007E020F"/>
    <w:rsid w:val="007E5CDF"/>
    <w:rsid w:val="008112A4"/>
    <w:rsid w:val="00813B8A"/>
    <w:rsid w:val="00826EBB"/>
    <w:rsid w:val="008456CA"/>
    <w:rsid w:val="00890A67"/>
    <w:rsid w:val="008972BB"/>
    <w:rsid w:val="008A2112"/>
    <w:rsid w:val="008D3A68"/>
    <w:rsid w:val="008D3EDB"/>
    <w:rsid w:val="008E2DFF"/>
    <w:rsid w:val="008E3B57"/>
    <w:rsid w:val="008E43A2"/>
    <w:rsid w:val="008E7EF9"/>
    <w:rsid w:val="008F10AA"/>
    <w:rsid w:val="008F427F"/>
    <w:rsid w:val="009132FC"/>
    <w:rsid w:val="00915E5A"/>
    <w:rsid w:val="00924865"/>
    <w:rsid w:val="0092707B"/>
    <w:rsid w:val="0093586A"/>
    <w:rsid w:val="0095219F"/>
    <w:rsid w:val="0095682D"/>
    <w:rsid w:val="00961F01"/>
    <w:rsid w:val="00963F89"/>
    <w:rsid w:val="00977FEA"/>
    <w:rsid w:val="009978C8"/>
    <w:rsid w:val="009A52D8"/>
    <w:rsid w:val="009C6AA0"/>
    <w:rsid w:val="009D7EA4"/>
    <w:rsid w:val="009F1A8D"/>
    <w:rsid w:val="00A0776C"/>
    <w:rsid w:val="00A242E1"/>
    <w:rsid w:val="00A42C5B"/>
    <w:rsid w:val="00A7024A"/>
    <w:rsid w:val="00A70C61"/>
    <w:rsid w:val="00A839EA"/>
    <w:rsid w:val="00A84143"/>
    <w:rsid w:val="00A87551"/>
    <w:rsid w:val="00A92775"/>
    <w:rsid w:val="00AA00A4"/>
    <w:rsid w:val="00AA00E7"/>
    <w:rsid w:val="00AD1DE6"/>
    <w:rsid w:val="00B0544A"/>
    <w:rsid w:val="00B46519"/>
    <w:rsid w:val="00B54AB6"/>
    <w:rsid w:val="00B55CA4"/>
    <w:rsid w:val="00B90EDC"/>
    <w:rsid w:val="00BA0BF2"/>
    <w:rsid w:val="00BC3A1A"/>
    <w:rsid w:val="00BD326D"/>
    <w:rsid w:val="00C015B8"/>
    <w:rsid w:val="00C06689"/>
    <w:rsid w:val="00C31846"/>
    <w:rsid w:val="00C36000"/>
    <w:rsid w:val="00C422B2"/>
    <w:rsid w:val="00C5792D"/>
    <w:rsid w:val="00C645CA"/>
    <w:rsid w:val="00C6785F"/>
    <w:rsid w:val="00CB1028"/>
    <w:rsid w:val="00CB3D94"/>
    <w:rsid w:val="00D37F02"/>
    <w:rsid w:val="00D5624A"/>
    <w:rsid w:val="00D97A41"/>
    <w:rsid w:val="00DA6E64"/>
    <w:rsid w:val="00DB0F0D"/>
    <w:rsid w:val="00DC5491"/>
    <w:rsid w:val="00DE2432"/>
    <w:rsid w:val="00DE5DF4"/>
    <w:rsid w:val="00DE735C"/>
    <w:rsid w:val="00E23296"/>
    <w:rsid w:val="00E4173E"/>
    <w:rsid w:val="00E83DD1"/>
    <w:rsid w:val="00EF0D75"/>
    <w:rsid w:val="00F54EA6"/>
    <w:rsid w:val="00F8053F"/>
    <w:rsid w:val="00FA3EE3"/>
    <w:rsid w:val="00F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Колонтитул"/>
    <w:basedOn w:val="a3"/>
    <w:rsid w:val="008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48D"/>
  </w:style>
  <w:style w:type="paragraph" w:styleId="a7">
    <w:name w:val="footer"/>
    <w:basedOn w:val="a"/>
    <w:link w:val="a8"/>
    <w:uiPriority w:val="99"/>
    <w:unhideWhenUsed/>
    <w:rsid w:val="0070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48D"/>
  </w:style>
  <w:style w:type="table" w:styleId="a9">
    <w:name w:val="Table Grid"/>
    <w:basedOn w:val="a1"/>
    <w:uiPriority w:val="39"/>
    <w:rsid w:val="008E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489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rsid w:val="00B55CA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55CA4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0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07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2%D1%80%D0%B0%D0%B2%D0%B5%D0%BD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5%D0%BD%D1%8C_%D0%A3%D0%BA%D1%80%D0%B0%D1%97%D0%BD%D1%81%D1%8C%D0%BA%D0%BE%D0%B3%D0%BE_%D0%BA%D0%BE%D0%B7%D0%B0%D1%86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CB00-D707-4F6E-9B2B-05DD544F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2021-01-10T01:05:00Z</dcterms:created>
  <dcterms:modified xsi:type="dcterms:W3CDTF">2021-01-10T01:05:00Z</dcterms:modified>
</cp:coreProperties>
</file>