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31C" w:rsidRPr="00D47484" w:rsidRDefault="0076031C" w:rsidP="0076031C">
      <w:pPr>
        <w:keepNext/>
        <w:spacing w:line="360" w:lineRule="auto"/>
        <w:ind w:left="5188"/>
        <w:outlineLvl w:val="2"/>
        <w:rPr>
          <w:b/>
          <w:bCs/>
          <w:sz w:val="28"/>
          <w:szCs w:val="28"/>
          <w:lang w:val="uk-UA"/>
        </w:rPr>
      </w:pPr>
      <w:r w:rsidRPr="00D47484">
        <w:rPr>
          <w:b/>
          <w:bCs/>
          <w:sz w:val="28"/>
          <w:szCs w:val="28"/>
          <w:lang w:val="uk-UA"/>
        </w:rPr>
        <w:t>ЗАТВЕРДЖЕНО</w:t>
      </w:r>
    </w:p>
    <w:p w:rsidR="0076031C" w:rsidRDefault="0076031C" w:rsidP="0076031C">
      <w:pPr>
        <w:ind w:left="5187"/>
        <w:rPr>
          <w:sz w:val="28"/>
          <w:szCs w:val="28"/>
          <w:lang w:val="uk-UA"/>
        </w:rPr>
      </w:pPr>
      <w:r w:rsidRPr="00D47484">
        <w:rPr>
          <w:sz w:val="28"/>
          <w:szCs w:val="28"/>
          <w:lang w:val="uk-UA"/>
        </w:rPr>
        <w:t xml:space="preserve">Розпорядження </w:t>
      </w:r>
      <w:r>
        <w:rPr>
          <w:sz w:val="28"/>
          <w:szCs w:val="28"/>
          <w:lang w:val="uk-UA"/>
        </w:rPr>
        <w:t>Великосеверинівського</w:t>
      </w:r>
    </w:p>
    <w:p w:rsidR="0076031C" w:rsidRPr="00D47484" w:rsidRDefault="0076031C" w:rsidP="0076031C">
      <w:pPr>
        <w:ind w:left="5187"/>
        <w:rPr>
          <w:sz w:val="28"/>
          <w:szCs w:val="28"/>
          <w:lang w:val="uk-UA"/>
        </w:rPr>
      </w:pPr>
      <w:r>
        <w:rPr>
          <w:sz w:val="28"/>
          <w:szCs w:val="28"/>
          <w:lang w:val="uk-UA"/>
        </w:rPr>
        <w:t>сільського голови</w:t>
      </w:r>
    </w:p>
    <w:p w:rsidR="0076031C" w:rsidRPr="00D47484" w:rsidRDefault="0076031C" w:rsidP="0076031C">
      <w:pPr>
        <w:ind w:left="5187"/>
        <w:rPr>
          <w:sz w:val="28"/>
          <w:szCs w:val="28"/>
          <w:lang w:val="uk-UA"/>
        </w:rPr>
      </w:pPr>
      <w:r>
        <w:rPr>
          <w:sz w:val="28"/>
          <w:szCs w:val="28"/>
          <w:lang w:val="uk-UA"/>
        </w:rPr>
        <w:t>«08»квітня</w:t>
      </w:r>
      <w:r w:rsidRPr="00D47484">
        <w:rPr>
          <w:sz w:val="28"/>
          <w:szCs w:val="28"/>
          <w:lang w:val="uk-UA"/>
        </w:rPr>
        <w:t xml:space="preserve">  2021 року  № </w:t>
      </w:r>
      <w:r>
        <w:rPr>
          <w:sz w:val="28"/>
          <w:szCs w:val="28"/>
          <w:lang w:val="uk-UA"/>
        </w:rPr>
        <w:t>61-од</w:t>
      </w:r>
    </w:p>
    <w:p w:rsidR="0076031C" w:rsidRPr="00D47484" w:rsidRDefault="0076031C" w:rsidP="0076031C">
      <w:pPr>
        <w:jc w:val="both"/>
        <w:rPr>
          <w:sz w:val="28"/>
          <w:szCs w:val="28"/>
          <w:lang w:val="uk-UA"/>
        </w:rPr>
      </w:pPr>
    </w:p>
    <w:p w:rsidR="0076031C" w:rsidRPr="00D47484" w:rsidRDefault="0076031C" w:rsidP="0076031C">
      <w:pPr>
        <w:keepNext/>
        <w:jc w:val="center"/>
        <w:outlineLvl w:val="3"/>
        <w:rPr>
          <w:b/>
          <w:bCs/>
          <w:sz w:val="36"/>
          <w:szCs w:val="36"/>
          <w:lang w:val="uk-UA"/>
        </w:rPr>
      </w:pPr>
      <w:r w:rsidRPr="00D47484">
        <w:rPr>
          <w:b/>
          <w:bCs/>
          <w:sz w:val="36"/>
          <w:szCs w:val="36"/>
          <w:lang w:val="uk-UA"/>
        </w:rPr>
        <w:t>ПЕРЕЛІК</w:t>
      </w:r>
    </w:p>
    <w:p w:rsidR="0076031C" w:rsidRPr="00D47484" w:rsidRDefault="0076031C" w:rsidP="0076031C">
      <w:pPr>
        <w:jc w:val="center"/>
        <w:rPr>
          <w:b/>
          <w:sz w:val="28"/>
          <w:szCs w:val="28"/>
          <w:lang w:val="uk-UA"/>
        </w:rPr>
      </w:pPr>
      <w:r w:rsidRPr="00D47484">
        <w:rPr>
          <w:b/>
          <w:sz w:val="28"/>
          <w:szCs w:val="28"/>
          <w:lang w:val="uk-UA"/>
        </w:rPr>
        <w:t>відомостей, що становлять службову інформацію</w:t>
      </w:r>
    </w:p>
    <w:p w:rsidR="0076031C" w:rsidRPr="00D47484" w:rsidRDefault="0076031C" w:rsidP="0076031C">
      <w:pPr>
        <w:jc w:val="center"/>
        <w:rPr>
          <w:b/>
          <w:sz w:val="28"/>
          <w:szCs w:val="28"/>
          <w:lang w:val="uk-UA"/>
        </w:rPr>
      </w:pPr>
      <w:r>
        <w:rPr>
          <w:b/>
          <w:sz w:val="28"/>
          <w:szCs w:val="28"/>
          <w:lang w:val="uk-UA"/>
        </w:rPr>
        <w:t>у Великосеверинівській сільській раді</w:t>
      </w:r>
    </w:p>
    <w:p w:rsidR="0076031C" w:rsidRPr="00D47484" w:rsidRDefault="0076031C" w:rsidP="0076031C">
      <w:pPr>
        <w:jc w:val="both"/>
        <w:rPr>
          <w:b/>
          <w:sz w:val="20"/>
          <w:szCs w:val="20"/>
          <w:lang w:val="uk-UA"/>
        </w:rPr>
      </w:pPr>
    </w:p>
    <w:p w:rsidR="0076031C" w:rsidRPr="00D47484" w:rsidRDefault="0076031C" w:rsidP="0076031C">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9069"/>
      </w:tblGrid>
      <w:tr w:rsidR="0076031C" w:rsidRPr="00D47484" w:rsidTr="00D22C10">
        <w:tc>
          <w:tcPr>
            <w:tcW w:w="678" w:type="dxa"/>
            <w:tcBorders>
              <w:top w:val="double" w:sz="4" w:space="0" w:color="auto"/>
              <w:left w:val="double" w:sz="4" w:space="0" w:color="auto"/>
              <w:bottom w:val="double" w:sz="4" w:space="0" w:color="auto"/>
              <w:right w:val="single" w:sz="6" w:space="0" w:color="auto"/>
            </w:tcBorders>
          </w:tcPr>
          <w:p w:rsidR="0076031C" w:rsidRPr="00D47484" w:rsidRDefault="0076031C" w:rsidP="00D22C10">
            <w:pPr>
              <w:jc w:val="center"/>
              <w:rPr>
                <w:sz w:val="26"/>
                <w:szCs w:val="26"/>
                <w:lang w:val="uk-UA"/>
              </w:rPr>
            </w:pPr>
            <w:r w:rsidRPr="00D47484">
              <w:rPr>
                <w:sz w:val="26"/>
                <w:szCs w:val="26"/>
                <w:lang w:val="uk-UA"/>
              </w:rPr>
              <w:t>№</w:t>
            </w:r>
          </w:p>
          <w:p w:rsidR="0076031C" w:rsidRPr="00D47484" w:rsidRDefault="0076031C" w:rsidP="00D22C10">
            <w:pPr>
              <w:jc w:val="center"/>
              <w:rPr>
                <w:sz w:val="26"/>
                <w:szCs w:val="26"/>
                <w:lang w:val="uk-UA"/>
              </w:rPr>
            </w:pPr>
            <w:r w:rsidRPr="00D47484">
              <w:rPr>
                <w:sz w:val="26"/>
                <w:szCs w:val="26"/>
                <w:lang w:val="uk-UA"/>
              </w:rPr>
              <w:t>з/п</w:t>
            </w:r>
          </w:p>
        </w:tc>
        <w:tc>
          <w:tcPr>
            <w:tcW w:w="9069" w:type="dxa"/>
            <w:tcBorders>
              <w:top w:val="double" w:sz="4" w:space="0" w:color="auto"/>
              <w:left w:val="single" w:sz="6" w:space="0" w:color="auto"/>
              <w:bottom w:val="double" w:sz="4" w:space="0" w:color="auto"/>
              <w:right w:val="double" w:sz="4" w:space="0" w:color="auto"/>
            </w:tcBorders>
          </w:tcPr>
          <w:p w:rsidR="0076031C" w:rsidRPr="00D47484" w:rsidRDefault="0076031C" w:rsidP="00D22C10">
            <w:pPr>
              <w:jc w:val="center"/>
              <w:rPr>
                <w:sz w:val="26"/>
                <w:szCs w:val="26"/>
                <w:lang w:val="uk-UA"/>
              </w:rPr>
            </w:pPr>
            <w:r w:rsidRPr="00D47484">
              <w:rPr>
                <w:sz w:val="26"/>
                <w:szCs w:val="26"/>
                <w:lang w:val="uk-UA"/>
              </w:rPr>
              <w:t>Відомості</w:t>
            </w:r>
          </w:p>
        </w:tc>
      </w:tr>
    </w:tbl>
    <w:p w:rsidR="0076031C" w:rsidRPr="00D47484" w:rsidRDefault="0076031C" w:rsidP="0076031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8938"/>
      </w:tblGrid>
      <w:tr w:rsidR="0076031C" w:rsidRPr="00D47484" w:rsidTr="00D22C10">
        <w:trPr>
          <w:cantSplit/>
          <w:tblHeader/>
        </w:trPr>
        <w:tc>
          <w:tcPr>
            <w:tcW w:w="671" w:type="dxa"/>
            <w:tcBorders>
              <w:top w:val="double" w:sz="4" w:space="0" w:color="auto"/>
              <w:left w:val="double" w:sz="4" w:space="0" w:color="auto"/>
              <w:bottom w:val="double" w:sz="4" w:space="0" w:color="auto"/>
              <w:right w:val="single" w:sz="6" w:space="0" w:color="auto"/>
            </w:tcBorders>
          </w:tcPr>
          <w:p w:rsidR="0076031C" w:rsidRPr="00D47484" w:rsidRDefault="0076031C" w:rsidP="00D22C10">
            <w:pPr>
              <w:jc w:val="center"/>
              <w:rPr>
                <w:b/>
                <w:sz w:val="26"/>
                <w:szCs w:val="26"/>
                <w:lang w:val="uk-UA"/>
              </w:rPr>
            </w:pPr>
            <w:r w:rsidRPr="00D47484">
              <w:rPr>
                <w:b/>
                <w:sz w:val="26"/>
                <w:szCs w:val="26"/>
                <w:lang w:val="uk-UA"/>
              </w:rPr>
              <w:t>1</w:t>
            </w:r>
          </w:p>
        </w:tc>
        <w:tc>
          <w:tcPr>
            <w:tcW w:w="8938" w:type="dxa"/>
            <w:tcBorders>
              <w:top w:val="double" w:sz="4" w:space="0" w:color="auto"/>
              <w:left w:val="single" w:sz="6" w:space="0" w:color="auto"/>
              <w:bottom w:val="double" w:sz="4" w:space="0" w:color="auto"/>
              <w:right w:val="double" w:sz="4" w:space="0" w:color="auto"/>
            </w:tcBorders>
          </w:tcPr>
          <w:p w:rsidR="0076031C" w:rsidRPr="00D47484" w:rsidRDefault="0076031C" w:rsidP="00D22C10">
            <w:pPr>
              <w:jc w:val="center"/>
              <w:rPr>
                <w:b/>
                <w:sz w:val="26"/>
                <w:szCs w:val="26"/>
                <w:lang w:val="uk-UA"/>
              </w:rPr>
            </w:pPr>
            <w:r w:rsidRPr="00D47484">
              <w:rPr>
                <w:b/>
                <w:sz w:val="26"/>
                <w:szCs w:val="26"/>
                <w:lang w:val="uk-UA"/>
              </w:rPr>
              <w:t>2</w:t>
            </w:r>
          </w:p>
        </w:tc>
      </w:tr>
      <w:tr w:rsidR="0076031C" w:rsidRPr="00BE5F16" w:rsidTr="00D22C10">
        <w:trPr>
          <w:cantSplit/>
        </w:trPr>
        <w:tc>
          <w:tcPr>
            <w:tcW w:w="671" w:type="dxa"/>
            <w:tcBorders>
              <w:top w:val="double" w:sz="4"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double" w:sz="4"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Службова інформація,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w:t>
            </w:r>
            <w:r>
              <w:rPr>
                <w:sz w:val="26"/>
                <w:szCs w:val="26"/>
                <w:lang w:val="uk-UA"/>
              </w:rPr>
              <w:t xml:space="preserve"> (ОМС)</w:t>
            </w:r>
            <w:r w:rsidRPr="00D47484">
              <w:rPr>
                <w:sz w:val="26"/>
                <w:szCs w:val="26"/>
                <w:lang w:val="uk-UA"/>
              </w:rPr>
              <w:t>, процесом прийняття рішень і передують публічному обговоренню та/або прийняттю рішень.</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Зведені відомості щодо режимних приміщень (зон, територій) для проведення секретних робіт, сховищ  матеріальних носіїв секретної інформації, заходи щодо їх охорони.</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Зведені відомості щодо пропускного та </w:t>
            </w:r>
            <w:proofErr w:type="spellStart"/>
            <w:r w:rsidRPr="00D47484">
              <w:rPr>
                <w:sz w:val="26"/>
                <w:szCs w:val="26"/>
                <w:lang w:val="uk-UA"/>
              </w:rPr>
              <w:t>внутрішньооб’єктового</w:t>
            </w:r>
            <w:proofErr w:type="spellEnd"/>
            <w:r w:rsidRPr="00D47484">
              <w:rPr>
                <w:sz w:val="26"/>
                <w:szCs w:val="26"/>
                <w:lang w:val="uk-UA"/>
              </w:rPr>
              <w:t xml:space="preserve"> режиму.</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Зведені відомості щодо ведення секретного діловодства.</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Зведені відомості про порядок проведення нарад з використанням секретної інформації.</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Зведені відомості про поводження із секретними документами під час відрядження.</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Зведені відомості щодо забезпечення режиму секретності у зв’язку з виїздом до іноземних держав громадян, яким надано чи було надано допуск та доступ до державної таємниці.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Зведені відомості щодо забезпечення режиму секретності під час міжнародного співробітництва.</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Зведені відомості щодо забезпечення режиму секретності в умовах особливого періоду або надзвичайного стану.</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Зведені відомості про поводження з матеріальними носіями секретної інформації у разі зміни начальника режимно-секретного органу (далі – РСО), працівника, на якого покладено обов’язки щодо забезпечення режиму секретності, реорганізації або ліквідації РСО.</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Зведені відомості про проведення службових розслідувань за фактами порушень законодавства у сфері охорони державної таємниці.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Номенклатура секретних справ.</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Номенклатура посад працівників, перебування на яких потребує оформлення допуску та надання доступу до державної таємниці.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Акти про знищення секретних документів і справ, документів і справ з грифом "Для службового користування", що стосуються охорони державної таємниці.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Облікова картка громадянина про надання допуску та доступу до державної таємниці.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Розпорядження </w:t>
            </w:r>
            <w:r>
              <w:rPr>
                <w:sz w:val="26"/>
                <w:szCs w:val="26"/>
                <w:lang w:val="uk-UA"/>
              </w:rPr>
              <w:t xml:space="preserve">сільського </w:t>
            </w:r>
            <w:r w:rsidRPr="00D47484">
              <w:rPr>
                <w:sz w:val="26"/>
                <w:szCs w:val="26"/>
                <w:lang w:val="uk-UA"/>
              </w:rPr>
              <w:t>голови, накази керівників структурних підрозділів з питань державної таємниці:</w:t>
            </w:r>
          </w:p>
          <w:p w:rsidR="0076031C" w:rsidRPr="00D47484" w:rsidRDefault="0076031C" w:rsidP="00D22C10">
            <w:pPr>
              <w:jc w:val="both"/>
              <w:rPr>
                <w:sz w:val="26"/>
                <w:szCs w:val="26"/>
                <w:lang w:val="uk-UA"/>
              </w:rPr>
            </w:pPr>
            <w:r w:rsidRPr="00D47484">
              <w:rPr>
                <w:sz w:val="26"/>
                <w:szCs w:val="26"/>
                <w:lang w:val="uk-UA"/>
              </w:rPr>
              <w:t>про надання доступу до державної таємниці;</w:t>
            </w:r>
          </w:p>
          <w:p w:rsidR="0076031C" w:rsidRPr="00D47484" w:rsidRDefault="0076031C" w:rsidP="00D22C10">
            <w:pPr>
              <w:jc w:val="both"/>
              <w:rPr>
                <w:sz w:val="26"/>
                <w:szCs w:val="26"/>
                <w:lang w:val="uk-UA"/>
              </w:rPr>
            </w:pPr>
            <w:r w:rsidRPr="00D47484">
              <w:rPr>
                <w:sz w:val="26"/>
                <w:szCs w:val="26"/>
                <w:lang w:val="uk-UA"/>
              </w:rPr>
              <w:t>про припинення доступу до секретної інформації;</w:t>
            </w:r>
          </w:p>
          <w:p w:rsidR="0076031C" w:rsidRPr="00D47484" w:rsidRDefault="0076031C" w:rsidP="00D22C10">
            <w:pPr>
              <w:jc w:val="both"/>
              <w:rPr>
                <w:sz w:val="26"/>
                <w:szCs w:val="26"/>
                <w:lang w:val="uk-UA"/>
              </w:rPr>
            </w:pPr>
            <w:r w:rsidRPr="00D47484">
              <w:rPr>
                <w:sz w:val="26"/>
                <w:szCs w:val="26"/>
                <w:lang w:val="uk-UA"/>
              </w:rPr>
              <w:t>про припинення допуску до державної таємниці;</w:t>
            </w:r>
          </w:p>
          <w:p w:rsidR="0076031C" w:rsidRPr="00D47484" w:rsidRDefault="0076031C" w:rsidP="00D22C10">
            <w:pPr>
              <w:jc w:val="both"/>
              <w:rPr>
                <w:sz w:val="26"/>
                <w:szCs w:val="26"/>
                <w:lang w:val="uk-UA"/>
              </w:rPr>
            </w:pPr>
            <w:r w:rsidRPr="00D47484">
              <w:rPr>
                <w:sz w:val="26"/>
                <w:szCs w:val="26"/>
                <w:lang w:val="uk-UA"/>
              </w:rPr>
              <w:t>про надання доступу до секретних справ та документів;</w:t>
            </w:r>
          </w:p>
          <w:p w:rsidR="0076031C" w:rsidRPr="00D47484" w:rsidRDefault="0076031C" w:rsidP="00D22C10">
            <w:pPr>
              <w:jc w:val="both"/>
              <w:rPr>
                <w:sz w:val="26"/>
                <w:szCs w:val="26"/>
                <w:lang w:val="uk-UA"/>
              </w:rPr>
            </w:pPr>
            <w:r w:rsidRPr="00D47484">
              <w:rPr>
                <w:sz w:val="26"/>
                <w:szCs w:val="26"/>
                <w:lang w:val="uk-UA"/>
              </w:rPr>
              <w:t>про здійснення загальної перевірки наявності матеріальних носіїв секретної інформації;</w:t>
            </w:r>
          </w:p>
          <w:p w:rsidR="0076031C" w:rsidRPr="00D47484" w:rsidRDefault="0076031C" w:rsidP="00D22C10">
            <w:pPr>
              <w:jc w:val="both"/>
              <w:rPr>
                <w:sz w:val="26"/>
                <w:szCs w:val="26"/>
                <w:lang w:val="uk-UA"/>
              </w:rPr>
            </w:pPr>
            <w:r w:rsidRPr="00D47484">
              <w:rPr>
                <w:sz w:val="26"/>
                <w:szCs w:val="26"/>
                <w:lang w:val="uk-UA"/>
              </w:rPr>
              <w:t>про проведення перевірки наявності секретних документів та інших матеріальних носіїв інформації;</w:t>
            </w:r>
          </w:p>
          <w:p w:rsidR="0076031C" w:rsidRPr="00D47484" w:rsidRDefault="0076031C" w:rsidP="00D22C10">
            <w:pPr>
              <w:jc w:val="both"/>
              <w:rPr>
                <w:sz w:val="26"/>
                <w:szCs w:val="26"/>
                <w:lang w:val="uk-UA"/>
              </w:rPr>
            </w:pPr>
            <w:r w:rsidRPr="00D47484">
              <w:rPr>
                <w:sz w:val="26"/>
                <w:szCs w:val="26"/>
                <w:lang w:val="uk-UA"/>
              </w:rPr>
              <w:t>про встановлення надбавки за роботу в умовах режимних обмежень;</w:t>
            </w:r>
          </w:p>
          <w:p w:rsidR="0076031C" w:rsidRPr="00D47484" w:rsidRDefault="0076031C" w:rsidP="00D22C10">
            <w:pPr>
              <w:jc w:val="both"/>
              <w:rPr>
                <w:sz w:val="26"/>
                <w:szCs w:val="26"/>
                <w:lang w:val="uk-UA"/>
              </w:rPr>
            </w:pPr>
            <w:r w:rsidRPr="00D47484">
              <w:rPr>
                <w:sz w:val="26"/>
                <w:szCs w:val="26"/>
                <w:lang w:val="uk-UA"/>
              </w:rPr>
              <w:t>про експертну комісію з питань таємниць;</w:t>
            </w:r>
          </w:p>
          <w:p w:rsidR="0076031C" w:rsidRPr="00D47484" w:rsidRDefault="0076031C" w:rsidP="00D22C10">
            <w:pPr>
              <w:jc w:val="both"/>
              <w:rPr>
                <w:sz w:val="26"/>
                <w:szCs w:val="26"/>
                <w:lang w:val="uk-UA"/>
              </w:rPr>
            </w:pPr>
            <w:r w:rsidRPr="00D47484">
              <w:rPr>
                <w:sz w:val="26"/>
                <w:szCs w:val="26"/>
                <w:lang w:val="uk-UA"/>
              </w:rPr>
              <w:t>про експертну комісію з проведення експертизи цінності документів.</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Протоколи засідань експертних комісій </w:t>
            </w:r>
            <w:r>
              <w:rPr>
                <w:sz w:val="26"/>
                <w:szCs w:val="26"/>
                <w:lang w:val="uk-UA"/>
              </w:rPr>
              <w:t>виконавчого комітету</w:t>
            </w:r>
            <w:r w:rsidRPr="00D47484">
              <w:rPr>
                <w:sz w:val="26"/>
                <w:szCs w:val="26"/>
                <w:lang w:val="uk-UA"/>
              </w:rPr>
              <w:t xml:space="preserve">, структурних підрозділів з питань таємниць та експертних комісій, з проведення експертизи цінності документів. </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Інструкція про порядок забезпечення режиму секретності під час роботи на запасних пунктах управління </w:t>
            </w:r>
            <w:r>
              <w:rPr>
                <w:sz w:val="26"/>
                <w:szCs w:val="26"/>
                <w:lang w:val="uk-UA"/>
              </w:rPr>
              <w:t>сільської ради</w:t>
            </w:r>
            <w:r w:rsidRPr="00D47484">
              <w:rPr>
                <w:sz w:val="26"/>
                <w:szCs w:val="26"/>
                <w:lang w:val="uk-UA"/>
              </w:rPr>
              <w:t xml:space="preserve"> у разі введення в державі особливого періоду.</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Правила </w:t>
            </w:r>
            <w:proofErr w:type="spellStart"/>
            <w:r w:rsidRPr="00D47484">
              <w:rPr>
                <w:sz w:val="26"/>
                <w:szCs w:val="26"/>
                <w:lang w:val="uk-UA"/>
              </w:rPr>
              <w:t>внутрішньооб’єктового</w:t>
            </w:r>
            <w:proofErr w:type="spellEnd"/>
            <w:r w:rsidRPr="00D47484">
              <w:rPr>
                <w:sz w:val="26"/>
                <w:szCs w:val="26"/>
                <w:lang w:val="uk-UA"/>
              </w:rPr>
              <w:t xml:space="preserve"> </w:t>
            </w:r>
            <w:proofErr w:type="spellStart"/>
            <w:r w:rsidRPr="00D47484">
              <w:rPr>
                <w:sz w:val="26"/>
                <w:szCs w:val="26"/>
                <w:lang w:val="uk-UA"/>
              </w:rPr>
              <w:t>режиму</w:t>
            </w:r>
            <w:r>
              <w:rPr>
                <w:sz w:val="26"/>
                <w:szCs w:val="26"/>
                <w:lang w:val="uk-UA"/>
              </w:rPr>
              <w:t>виконавчого</w:t>
            </w:r>
            <w:proofErr w:type="spellEnd"/>
            <w:r>
              <w:rPr>
                <w:sz w:val="26"/>
                <w:szCs w:val="26"/>
                <w:lang w:val="uk-UA"/>
              </w:rPr>
              <w:t xml:space="preserve"> комітету сільської ради</w:t>
            </w:r>
            <w:r w:rsidRPr="00D47484">
              <w:rPr>
                <w:sz w:val="26"/>
                <w:szCs w:val="26"/>
                <w:lang w:val="uk-UA"/>
              </w:rPr>
              <w:t>.</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Картка результатів  перевірки громадянина у зв’язку з допуском до державної таємниці.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Акт за результатами експертної оцінки матеріальних носіїв інформації.</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Акт про відібрання для знищення та знищення машинних носіїв інформації.</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Журнал обліку вхідних  документів (форма 39).</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Журнал обліку  документів, надрукованих у друкарському бюро(форма 43).</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Журнал обліку підготовлених  документів (форма 36).</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Порядок надання доступу до державної таємниці.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Акт про вилучення для знищення секретних документів, не внесених до Національного архівного фонду, та інших матеріальних носіїв інформації, що стосуються охорони державної таємниці.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Акт за результатами перегляду грифів секретності матеріальних носіїв інформації.</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Акт (довідка) перевірки стану режиму секретності у структурних підрозділах </w:t>
            </w:r>
            <w:r>
              <w:rPr>
                <w:sz w:val="26"/>
                <w:szCs w:val="26"/>
                <w:lang w:val="uk-UA"/>
              </w:rPr>
              <w:t>, виконавчому комітеті сільської ради</w:t>
            </w:r>
            <w:r w:rsidRPr="00D47484">
              <w:rPr>
                <w:sz w:val="26"/>
                <w:szCs w:val="26"/>
                <w:lang w:val="uk-UA"/>
              </w:rPr>
              <w:t>.</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Перелік матеріальних носіїв секретної інформації, грифи секретності яких підлягають перегляду.</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Зведені відомості про наявність допуску до державної таємниці, про погодження органом СБУ призначення на посади начальників РСО, про видання наказу про покладання на окремого працівника обов'язків щодо забезпечення режиму секретності.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Зведені відомості щодо надання, зниження форми допуску до державної таємниці, відмови у наданні та скасування громадянам допуску до державної таємниці.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Листування про стан забезпечення охорони державної таємниці та технічного захисту інформації з обмеженим доступом (якщо інформація не відноситься до державної таємниці).</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Відомості про загрози (моделі загроз або моделі порушників) або можливі шляхи реалізації загроз для службової та конфіденційної інформації, що циркулює на конкретному об’єкті інформаційної діяльності або обробляється в конкретній інформаційній (автоматизованій), телекомунікаційній чи інформаційно-телекомунікаційній системі.</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Зведені відомості про організацію, запровадження заходів, фактичний стан, наявність недоліків в організації технічного захисту службової та конфіденційної інформації, володіння якими дає змогу ініціювати витік службової та конфіденційної інформації, щодо об’єкта інформаційної діяльності, інформаційної (автоматизованої), телекомунікаційної, інформаційно-комунікаційної системи, де циркулює службова та конфіденційна інформація.</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Зведені відомості про зміст заходів, склад засобів, умови експлуатації комплексу технічного захисту (комплексної системи захисту) службової та конфіденційної інформації, що циркулює на конкретному об’єкті інформаційної діяльності або обробляється в конкретній інформаційній (автоматизованій), телекомунікаційній чи інформаційно-телекомунікаційній системі.</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Зведені відомості про організацію, результати перевірок ефективності технічного захисту службової та конфіденційної інформації, що циркулює на конкретному об’єкті інформаційної діяльності або в конкретній інформаційній (автоматизованій), телекомунікаційній чи інформаційно-телекомунікаційній системі.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Витяги з  переліку телефонних та телеграфних постійно діючих каналів, а також за паролями "Каштан" та "Стихія".</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плани та схеми зв’язку, які розкривають побудову системи зв’язку ДСНС України, крім тих, що становлять державну таємницю.</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Виписки з таблиці позивних посадових осіб.</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щодо технічного стану та готовності про кожну окрему систему оповіщення.</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 xml:space="preserve">Виписки з </w:t>
            </w:r>
            <w:proofErr w:type="spellStart"/>
            <w:r w:rsidRPr="00D47484">
              <w:rPr>
                <w:sz w:val="26"/>
                <w:szCs w:val="26"/>
                <w:lang w:val="uk-UA"/>
              </w:rPr>
              <w:t>радіоданих</w:t>
            </w:r>
            <w:proofErr w:type="spellEnd"/>
            <w:r w:rsidRPr="00D47484">
              <w:rPr>
                <w:sz w:val="26"/>
                <w:szCs w:val="26"/>
                <w:lang w:val="uk-UA"/>
              </w:rPr>
              <w:t>.</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за сукупністю всіх показників про час, маршрут транспортування, місця знешкодження або знищення вибухових речовин (матеріалів), засобів підриву та вибухонебезпечних предметів.</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стан цивільного захисту в особливий період в органах виконавчої влади, органах місцевого самоврядування, підприємств, установ, організацій, якщо відомості в них не містять інформацію, що становить державну таємницю.</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інженерно-технічні заходи цивільного захисту (цивільної оборони), що плануються (реалізовані) в генеральних планах забудови населених пунктів та відповідних адміністративно-територіальних одиниць.</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порядок, критерії та правила віднесення міст та суб’єктів господарювання до відповідних груп та категорій з цивільного захисту.</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за сукупністю показників про зміст та основні напрямки розвитку інженерно-технічних заходів цивільного захисту  (цивільної оборони) на особливий період, що передбачені (реалізовані) в генеральних планах забудови населених пунктів та відповідних адміністративно-територіальних одиниць.</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участь у заходах з антитерористичної діяльності, на які не поширюється дія Зводу відомостей, що становлять державну таємницю.</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Зведені дані про стан підготовки цивільного захисту (цивільної оборони) за рік, якщо відомості в них не містять інформацію, що становить державну таємницю.</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Зведені відомості про техніко-економічні характеристики в розрізі регіонів, які накопичені у Державному реєстрі потенційно небезпечних об’єктів.</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Перелік об’єктів і споруд систем життєзабезпечення, виробів та об’єктів, документація на які </w:t>
            </w:r>
            <w:proofErr w:type="spellStart"/>
            <w:r w:rsidRPr="00D47484">
              <w:rPr>
                <w:sz w:val="26"/>
                <w:szCs w:val="26"/>
                <w:lang w:val="uk-UA"/>
              </w:rPr>
              <w:t>замікрофільмована</w:t>
            </w:r>
            <w:proofErr w:type="spellEnd"/>
            <w:r w:rsidRPr="00D47484">
              <w:rPr>
                <w:sz w:val="26"/>
                <w:szCs w:val="26"/>
                <w:lang w:val="uk-UA"/>
              </w:rPr>
              <w:t>, та мікрофільмів, прийнятих на державне зберігання.</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щодо створення, розвитку, утримання, передачі, ліквідації, реалізації та фінансування мобілізаційних потужностей, які не підпадають під дію статей Зводу відомостей, що становлять державну таємницю.</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Відомості щодо виробництва та поставки технічних засобів та майна речової служби в особливий період (крім Збройних Сил України).</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Відомості щодо виробництва, закупівлі та поставки продовольства, сільськогосподарської продукції, потреби сільського господарства в хімічних і мікробіологічних засобах захисту рослин, мінеральних добривах  в особливий період.</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Заходи щодо виробництва та поставки паливно-мастильних матеріалів в особливий період.</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Відомості щодо кількості автотранспортної, </w:t>
            </w:r>
            <w:proofErr w:type="spellStart"/>
            <w:r w:rsidRPr="00D47484">
              <w:rPr>
                <w:sz w:val="26"/>
                <w:szCs w:val="26"/>
                <w:lang w:val="uk-UA"/>
              </w:rPr>
              <w:t>дорожньо-будівельної</w:t>
            </w:r>
            <w:proofErr w:type="spellEnd"/>
            <w:r w:rsidRPr="00D47484">
              <w:rPr>
                <w:sz w:val="26"/>
                <w:szCs w:val="26"/>
                <w:lang w:val="uk-UA"/>
              </w:rPr>
              <w:t>, підіймально-транспортної техніки, які підлягають передачі Збройним Силам України, в місцевому органі виконавчої влади, органі місцевого самоврядування.</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щодо забезпечення виконавців мобілізаційних завдань матеріально-технічними, сировинними та енергетичними ресурсами в особливий період.</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Відомості щодо виробництва ветеринарного майна та технічних засобів ветеринарної медицини в особливий період.</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Відомості щодо показників із праці та кадрів, джерел забезпечення кадрами потреб господарства </w:t>
            </w:r>
            <w:r>
              <w:rPr>
                <w:sz w:val="26"/>
                <w:szCs w:val="26"/>
                <w:lang w:val="uk-UA"/>
              </w:rPr>
              <w:t>сільської ради</w:t>
            </w:r>
            <w:r w:rsidRPr="00D47484">
              <w:rPr>
                <w:sz w:val="26"/>
                <w:szCs w:val="26"/>
                <w:lang w:val="uk-UA"/>
              </w:rPr>
              <w:t xml:space="preserve"> в особливий період.</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Відомості щодо підготовки фахівців у закладах освіти на особливий період.</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Заходи щодо надання медичних, транспортних, поштових, телекомунікаційних, житлово-комунальних, побутових, ремонтних та інших послуг в особливий період, якщо відомості в них не містять інформацію, що становить державну таємницю.</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щодо виробництва найважливішої цивільної промислової продукції в особливий період.</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щодо номенклатури, обсягів (норм), місць зберігання матеріальних цінностей мобілізаційного резерву в місцевому органі виконавчої влади, на підприємстві, в установі та організації.</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Заходи щодо капітального будівництва в особливий період.</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 xml:space="preserve">Відомості про методичні матеріали з питань мобілізаційної підготовки господарства </w:t>
            </w:r>
            <w:r>
              <w:rPr>
                <w:sz w:val="26"/>
                <w:szCs w:val="26"/>
                <w:lang w:val="uk-UA"/>
              </w:rPr>
              <w:t>сільської ради</w:t>
            </w:r>
            <w:r w:rsidRPr="00D47484">
              <w:rPr>
                <w:sz w:val="26"/>
                <w:szCs w:val="26"/>
                <w:lang w:val="uk-UA"/>
              </w:rPr>
              <w:t>.</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виконання законів, інших нормативно-правових актів з питань мобілізаційної підготовки національної економіки, крім тих, що становлять державну таємницю.</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 xml:space="preserve">Відомості про заходи, передбачені для забезпечення сталого функціонування місцевих органів виконавчої влади, органів місцевого самоврядування, а також підприємств, установ, організацій, які не задіяні у виробництві озброєння, боєприпасів, військової техніки, спеціальних комплектуючих виробів до них, крім тих, що становлять державну таємницю. </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 xml:space="preserve">Відомості про стан мобілізаційної готовності </w:t>
            </w:r>
            <w:r>
              <w:rPr>
                <w:sz w:val="26"/>
                <w:szCs w:val="26"/>
                <w:lang w:val="uk-UA"/>
              </w:rPr>
              <w:t>сіл</w:t>
            </w:r>
            <w:r w:rsidRPr="00D47484">
              <w:rPr>
                <w:sz w:val="26"/>
                <w:szCs w:val="26"/>
                <w:lang w:val="uk-UA"/>
              </w:rPr>
              <w:t>, підприємств,  установ та організацій.</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функціонування єдиної транспортної системи України в особливий період у частині, що стосується органу місцевого самоврядування, окремого підприємства.</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військовозобов’язаних, заброньованих за місцевими органами виконавчої влади, органами місцевого самоврядування, підприємствами, установами, організаціями, які не задіяні в особливий період у виробництві озброєння, боєприпасів, військової техніки, спеціальних комплектуючих виробів до них.</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виділення будівель, споруд, земельних ділянок, транспортних та інших матеріально-технічних засобів Збройним Силам України, іншим військовим формуванням в особливий період, крім тих, що становлять державну таємницю.</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виробничі потужності, обсяги, технологію виробництва матеріалів, які передбачається використовувати для виготовлення озброєння, військової техніки, спеціальних комплектуючих виробів до них у цілому щодо підприємства, установи, організації.</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щодо перевірки стану мобілізаційної органів місцевого самоврядування, підприємств, установ, організацій, якщо відомості в них не містять інформацію, що становить державну таємницю.</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заходи мобілізаційної підготовки та мобілізаційного плану органу місцевого самоврядування, підприємства, установи, організації, які не підпадають під дію статей Зводу відомостей, що становлять державну таємницю.</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організацію оповіщення, управління і зв’язку, порядок переведення органу місцевого самоврядування, підприємства, установи, організації на режим роботи в умовах особливого періоду, якщо відомості в них не містять інформацію, що становить державну таємницю.</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довгострокові та річні програми мобілізаційної підготовки органу місцевого самоврядування, підприємства, установи, організації, крім тих, що становлять державну таємницю.</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spacing w:line="235" w:lineRule="auto"/>
              <w:jc w:val="both"/>
              <w:rPr>
                <w:sz w:val="26"/>
                <w:szCs w:val="26"/>
                <w:lang w:val="uk-UA"/>
              </w:rPr>
            </w:pPr>
            <w:r w:rsidRPr="00D47484">
              <w:rPr>
                <w:sz w:val="26"/>
                <w:szCs w:val="26"/>
                <w:lang w:val="uk-UA"/>
              </w:rPr>
              <w:t>Відомості про організацію реагування та дій в разі виникнення аварій на об’єктах, що мають стратегічне значення для економіки і безпеки держави.</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Програми професійної підготовки особового складу сил цивільного захисту.</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Відомості про потребу в асигнуваннях та фактичні фінансові витрати на мобілізаційну підготовку органу місцевого самоврядування, підприємства, установи, організації, крім тих, що становлять державну таємницю.</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Відомості з питань створення та утримання резерву медикаментів та медичного майна довготривалого зберігання на особливий період та на випадок виникнення надзвичайної ситуації, якщо відомості в них не містять інформацію, що становить державну таємницю.</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Розпорядження, </w:t>
            </w:r>
            <w:r>
              <w:rPr>
                <w:sz w:val="26"/>
                <w:szCs w:val="26"/>
                <w:lang w:val="uk-UA"/>
              </w:rPr>
              <w:t>сільського голови</w:t>
            </w:r>
            <w:r w:rsidRPr="00D47484">
              <w:rPr>
                <w:sz w:val="26"/>
                <w:szCs w:val="26"/>
                <w:lang w:val="uk-UA"/>
              </w:rPr>
              <w:t xml:space="preserve"> з питань територіальної оборони, якщо відомості в них не містять інформацію, що становить державну таємницю.</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Відомості щодо розробки документів з питань територіальної оборони, якщо відомості в них не містять інформацію, що становить державну таємницю.</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Відомості, що розкривають зміст угод, договорів, контрактів, які за домовленістю сторін вважаються конфіденційними.</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Відомості, що містять інформацію, розголошення якої може завдати істотної шкоди інтересам національної безпеки, територіальної цілісності або громадського порядку, призвести до заворушень чи злочинів, якщо ці відомості не містять інформацію, що становить державну таємницю.</w:t>
            </w:r>
          </w:p>
        </w:tc>
      </w:tr>
      <w:tr w:rsidR="0076031C" w:rsidRPr="00BE5F16"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Акти </w:t>
            </w:r>
            <w:proofErr w:type="spellStart"/>
            <w:r w:rsidRPr="00D47484">
              <w:rPr>
                <w:sz w:val="26"/>
                <w:szCs w:val="26"/>
                <w:lang w:val="uk-UA"/>
              </w:rPr>
              <w:t>категоріювання</w:t>
            </w:r>
            <w:proofErr w:type="spellEnd"/>
            <w:r w:rsidRPr="00D47484">
              <w:rPr>
                <w:sz w:val="26"/>
                <w:szCs w:val="26"/>
                <w:lang w:val="uk-UA"/>
              </w:rPr>
              <w:t xml:space="preserve"> об'єктів інформаційної діяльності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Документи, складені за результатами проведення внутрішніх аудитів (аудиторські звіти,   рекомендації за результатами проведення внутрішніх аудитів та інші документи, які містять інформацію, що стосується проведених аудитів).</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Відомості про планування, організацію та проведення заходів з евакуації в особливий період, якщо відомості в них не містять державну таємницю.</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Інструкція про порядок оповіщення та приведення системи цивільного захисту </w:t>
            </w:r>
            <w:r>
              <w:rPr>
                <w:sz w:val="26"/>
                <w:szCs w:val="26"/>
                <w:lang w:val="uk-UA"/>
              </w:rPr>
              <w:t>сільської ради</w:t>
            </w:r>
            <w:r w:rsidRPr="00D47484">
              <w:rPr>
                <w:sz w:val="26"/>
                <w:szCs w:val="26"/>
                <w:lang w:val="uk-UA"/>
              </w:rPr>
              <w:t xml:space="preserve"> у вищі ступені готовності.</w:t>
            </w:r>
          </w:p>
        </w:tc>
      </w:tr>
      <w:tr w:rsidR="0076031C" w:rsidRPr="00D47484" w:rsidTr="00D22C10">
        <w:trPr>
          <w:cantSplit/>
        </w:trPr>
        <w:tc>
          <w:tcPr>
            <w:tcW w:w="671" w:type="dxa"/>
            <w:tcBorders>
              <w:top w:val="single" w:sz="6" w:space="0" w:color="auto"/>
              <w:left w:val="double" w:sz="4" w:space="0" w:color="auto"/>
              <w:bottom w:val="single" w:sz="6" w:space="0" w:color="auto"/>
              <w:right w:val="single" w:sz="6" w:space="0" w:color="auto"/>
            </w:tcBorders>
          </w:tcPr>
          <w:p w:rsidR="0076031C" w:rsidRPr="00D47484" w:rsidRDefault="0076031C" w:rsidP="00D22C10">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rsidR="0076031C" w:rsidRPr="00D47484" w:rsidRDefault="0076031C" w:rsidP="00D22C10">
            <w:pPr>
              <w:jc w:val="both"/>
              <w:rPr>
                <w:sz w:val="26"/>
                <w:szCs w:val="26"/>
                <w:lang w:val="uk-UA"/>
              </w:rPr>
            </w:pPr>
            <w:r w:rsidRPr="00D47484">
              <w:rPr>
                <w:sz w:val="26"/>
                <w:szCs w:val="26"/>
                <w:lang w:val="uk-UA"/>
              </w:rPr>
              <w:t xml:space="preserve">Правила поводження з </w:t>
            </w:r>
            <w:proofErr w:type="spellStart"/>
            <w:r w:rsidRPr="00D47484">
              <w:rPr>
                <w:sz w:val="26"/>
                <w:szCs w:val="26"/>
                <w:lang w:val="uk-UA"/>
              </w:rPr>
              <w:t>шифротелеграмами</w:t>
            </w:r>
            <w:proofErr w:type="spellEnd"/>
            <w:r w:rsidRPr="00D47484">
              <w:rPr>
                <w:sz w:val="26"/>
                <w:szCs w:val="26"/>
                <w:lang w:val="uk-UA"/>
              </w:rPr>
              <w:t xml:space="preserve"> в </w:t>
            </w:r>
            <w:r>
              <w:rPr>
                <w:sz w:val="26"/>
                <w:szCs w:val="26"/>
                <w:lang w:val="uk-UA"/>
              </w:rPr>
              <w:t>сільській раді.</w:t>
            </w:r>
          </w:p>
        </w:tc>
      </w:tr>
    </w:tbl>
    <w:p w:rsidR="0076031C" w:rsidRPr="00D47484" w:rsidRDefault="0076031C" w:rsidP="0076031C">
      <w:pPr>
        <w:jc w:val="center"/>
        <w:rPr>
          <w:sz w:val="28"/>
          <w:szCs w:val="28"/>
          <w:lang w:val="uk-UA"/>
        </w:rPr>
      </w:pPr>
    </w:p>
    <w:p w:rsidR="0076031C" w:rsidRPr="00D47484" w:rsidRDefault="0076031C" w:rsidP="0076031C">
      <w:pPr>
        <w:jc w:val="center"/>
        <w:rPr>
          <w:sz w:val="28"/>
          <w:szCs w:val="28"/>
          <w:lang w:val="uk-UA"/>
        </w:rPr>
      </w:pPr>
    </w:p>
    <w:p w:rsidR="0076031C" w:rsidRPr="00D47484" w:rsidRDefault="0076031C" w:rsidP="0076031C">
      <w:pPr>
        <w:jc w:val="center"/>
        <w:rPr>
          <w:sz w:val="28"/>
          <w:szCs w:val="28"/>
          <w:lang w:val="uk-UA"/>
        </w:rPr>
      </w:pPr>
      <w:r w:rsidRPr="00D47484">
        <w:rPr>
          <w:sz w:val="28"/>
          <w:szCs w:val="28"/>
          <w:lang w:val="uk-UA"/>
        </w:rPr>
        <w:t>______________________</w:t>
      </w:r>
    </w:p>
    <w:p w:rsidR="0076031C" w:rsidRPr="00D47484" w:rsidRDefault="0076031C" w:rsidP="0076031C">
      <w:pPr>
        <w:jc w:val="center"/>
        <w:rPr>
          <w:sz w:val="28"/>
          <w:szCs w:val="28"/>
          <w:lang w:val="uk-UA"/>
        </w:rPr>
        <w:sectPr w:rsidR="0076031C" w:rsidRPr="00D47484" w:rsidSect="008036C5">
          <w:headerReference w:type="default" r:id="rId5"/>
          <w:pgSz w:w="11907" w:h="16840" w:code="9"/>
          <w:pgMar w:top="1134" w:right="567" w:bottom="1134" w:left="1701" w:header="709" w:footer="709" w:gutter="0"/>
          <w:pgNumType w:start="1"/>
          <w:cols w:space="1134"/>
          <w:titlePg/>
          <w:docGrid w:linePitch="360"/>
        </w:sectPr>
      </w:pPr>
    </w:p>
    <w:p w:rsidR="0076031C" w:rsidRPr="00D47484" w:rsidRDefault="0076031C" w:rsidP="0076031C">
      <w:pPr>
        <w:keepNext/>
        <w:spacing w:line="360" w:lineRule="auto"/>
        <w:ind w:left="5188"/>
        <w:outlineLvl w:val="2"/>
        <w:rPr>
          <w:b/>
          <w:bCs/>
          <w:sz w:val="28"/>
          <w:szCs w:val="28"/>
          <w:lang w:val="uk-UA"/>
        </w:rPr>
      </w:pPr>
      <w:r w:rsidRPr="00D47484">
        <w:rPr>
          <w:b/>
          <w:bCs/>
          <w:sz w:val="28"/>
          <w:szCs w:val="28"/>
          <w:lang w:val="uk-UA"/>
        </w:rPr>
        <w:lastRenderedPageBreak/>
        <w:t>ЗАТВЕРДЖЕНО</w:t>
      </w:r>
    </w:p>
    <w:p w:rsidR="0076031C" w:rsidRDefault="0076031C" w:rsidP="0076031C">
      <w:pPr>
        <w:ind w:left="5187"/>
        <w:rPr>
          <w:sz w:val="28"/>
          <w:szCs w:val="28"/>
          <w:lang w:val="uk-UA"/>
        </w:rPr>
      </w:pPr>
      <w:r w:rsidRPr="00D47484">
        <w:rPr>
          <w:sz w:val="28"/>
          <w:szCs w:val="28"/>
          <w:lang w:val="uk-UA"/>
        </w:rPr>
        <w:t xml:space="preserve">Розпорядження </w:t>
      </w:r>
      <w:r>
        <w:rPr>
          <w:sz w:val="28"/>
          <w:szCs w:val="28"/>
          <w:lang w:val="uk-UA"/>
        </w:rPr>
        <w:t>Великосеверинівського</w:t>
      </w:r>
    </w:p>
    <w:p w:rsidR="0076031C" w:rsidRPr="00D47484" w:rsidRDefault="0076031C" w:rsidP="0076031C">
      <w:pPr>
        <w:ind w:left="5187"/>
        <w:rPr>
          <w:sz w:val="28"/>
          <w:szCs w:val="28"/>
          <w:lang w:val="uk-UA"/>
        </w:rPr>
      </w:pPr>
      <w:r>
        <w:rPr>
          <w:sz w:val="28"/>
          <w:szCs w:val="28"/>
          <w:lang w:val="uk-UA"/>
        </w:rPr>
        <w:t>сільського голови</w:t>
      </w:r>
    </w:p>
    <w:p w:rsidR="0076031C" w:rsidRPr="00D47484" w:rsidRDefault="0076031C" w:rsidP="0076031C">
      <w:pPr>
        <w:ind w:left="5187"/>
        <w:rPr>
          <w:sz w:val="28"/>
          <w:szCs w:val="28"/>
          <w:lang w:val="uk-UA"/>
        </w:rPr>
      </w:pPr>
      <w:r>
        <w:rPr>
          <w:sz w:val="28"/>
          <w:szCs w:val="28"/>
          <w:lang w:val="uk-UA"/>
        </w:rPr>
        <w:t>«08»квітня</w:t>
      </w:r>
      <w:r w:rsidRPr="00D47484">
        <w:rPr>
          <w:sz w:val="28"/>
          <w:szCs w:val="28"/>
          <w:lang w:val="uk-UA"/>
        </w:rPr>
        <w:t xml:space="preserve">  2021 року  № </w:t>
      </w:r>
      <w:r>
        <w:rPr>
          <w:sz w:val="28"/>
          <w:szCs w:val="28"/>
          <w:lang w:val="uk-UA"/>
        </w:rPr>
        <w:t>61-од</w:t>
      </w:r>
    </w:p>
    <w:p w:rsidR="0076031C" w:rsidRPr="00D47484" w:rsidRDefault="0076031C" w:rsidP="0076031C">
      <w:pPr>
        <w:jc w:val="both"/>
        <w:rPr>
          <w:sz w:val="28"/>
          <w:szCs w:val="28"/>
          <w:lang w:val="uk-UA"/>
        </w:rPr>
      </w:pPr>
    </w:p>
    <w:p w:rsidR="0076031C" w:rsidRPr="00D47484" w:rsidRDefault="0076031C" w:rsidP="0076031C">
      <w:pPr>
        <w:jc w:val="both"/>
        <w:rPr>
          <w:sz w:val="28"/>
          <w:szCs w:val="28"/>
          <w:lang w:val="uk-UA"/>
        </w:rPr>
      </w:pPr>
    </w:p>
    <w:p w:rsidR="0076031C" w:rsidRPr="00D47484" w:rsidRDefault="0076031C" w:rsidP="0076031C">
      <w:pPr>
        <w:keepNext/>
        <w:jc w:val="center"/>
        <w:outlineLvl w:val="3"/>
        <w:rPr>
          <w:b/>
          <w:bCs/>
          <w:sz w:val="36"/>
          <w:szCs w:val="36"/>
          <w:lang w:val="uk-UA"/>
        </w:rPr>
      </w:pPr>
      <w:r w:rsidRPr="00D47484">
        <w:rPr>
          <w:b/>
          <w:bCs/>
          <w:sz w:val="36"/>
          <w:szCs w:val="36"/>
          <w:lang w:val="uk-UA"/>
        </w:rPr>
        <w:t>ПЕРЕЛІК</w:t>
      </w:r>
    </w:p>
    <w:p w:rsidR="0076031C" w:rsidRPr="00D47484" w:rsidRDefault="0076031C" w:rsidP="0076031C">
      <w:pPr>
        <w:jc w:val="center"/>
        <w:rPr>
          <w:b/>
          <w:sz w:val="28"/>
          <w:szCs w:val="28"/>
          <w:lang w:val="uk-UA"/>
        </w:rPr>
      </w:pPr>
      <w:r w:rsidRPr="00D47484">
        <w:rPr>
          <w:b/>
          <w:sz w:val="28"/>
          <w:szCs w:val="28"/>
          <w:lang w:val="uk-UA"/>
        </w:rPr>
        <w:t xml:space="preserve">конфіденційної інформації, володільцем якої є </w:t>
      </w:r>
      <w:r>
        <w:rPr>
          <w:b/>
          <w:sz w:val="28"/>
          <w:szCs w:val="28"/>
          <w:lang w:val="uk-UA"/>
        </w:rPr>
        <w:t>Великосеверинівська сільська рада</w:t>
      </w:r>
      <w:r w:rsidRPr="00D47484">
        <w:rPr>
          <w:b/>
          <w:sz w:val="28"/>
          <w:szCs w:val="28"/>
          <w:lang w:val="uk-UA"/>
        </w:rPr>
        <w:t>, а також інформації, що є інформацією</w:t>
      </w:r>
    </w:p>
    <w:p w:rsidR="0076031C" w:rsidRPr="00D47484" w:rsidRDefault="0076031C" w:rsidP="0076031C">
      <w:pPr>
        <w:jc w:val="center"/>
        <w:rPr>
          <w:b/>
          <w:sz w:val="28"/>
          <w:szCs w:val="28"/>
          <w:lang w:val="uk-UA"/>
        </w:rPr>
      </w:pPr>
      <w:r w:rsidRPr="00D47484">
        <w:rPr>
          <w:b/>
          <w:sz w:val="28"/>
          <w:szCs w:val="28"/>
          <w:lang w:val="uk-UA"/>
        </w:rPr>
        <w:t>з обмеженим доступом та не підлягає відображенню у відкритому доступі</w:t>
      </w:r>
    </w:p>
    <w:p w:rsidR="0076031C" w:rsidRPr="00D47484" w:rsidRDefault="0076031C" w:rsidP="0076031C">
      <w:pPr>
        <w:jc w:val="center"/>
        <w:rPr>
          <w:b/>
          <w:sz w:val="28"/>
          <w:szCs w:val="28"/>
          <w:lang w:val="uk-UA"/>
        </w:rPr>
      </w:pPr>
    </w:p>
    <w:p w:rsidR="0076031C" w:rsidRPr="00D47484" w:rsidRDefault="0076031C" w:rsidP="0076031C">
      <w:pPr>
        <w:jc w:val="both"/>
        <w:rPr>
          <w:sz w:val="28"/>
          <w:szCs w:val="28"/>
          <w:lang w:val="uk-UA"/>
        </w:rPr>
      </w:pPr>
    </w:p>
    <w:p w:rsidR="0076031C" w:rsidRPr="00D47484" w:rsidRDefault="0076031C" w:rsidP="0076031C">
      <w:pPr>
        <w:ind w:firstLine="708"/>
        <w:jc w:val="both"/>
        <w:rPr>
          <w:sz w:val="28"/>
          <w:szCs w:val="28"/>
          <w:lang w:val="uk-UA"/>
        </w:rPr>
      </w:pPr>
      <w:r w:rsidRPr="00D47484">
        <w:rPr>
          <w:sz w:val="28"/>
          <w:szCs w:val="28"/>
          <w:lang w:val="uk-UA"/>
        </w:rPr>
        <w:t xml:space="preserve">1. Інформація про фізичну особу (персональні дані) – відомості чи сукупність відомостей про фізичну особу, яка ідентифікована або може бути конкретно ідентифікована. </w:t>
      </w:r>
    </w:p>
    <w:p w:rsidR="0076031C" w:rsidRPr="00D47484" w:rsidRDefault="0076031C" w:rsidP="0076031C">
      <w:pPr>
        <w:ind w:firstLine="709"/>
        <w:jc w:val="both"/>
        <w:rPr>
          <w:sz w:val="28"/>
          <w:szCs w:val="28"/>
          <w:lang w:val="uk-UA"/>
        </w:rPr>
      </w:pPr>
    </w:p>
    <w:p w:rsidR="0076031C" w:rsidRPr="00D47484" w:rsidRDefault="0076031C" w:rsidP="0076031C">
      <w:pPr>
        <w:ind w:firstLine="708"/>
        <w:jc w:val="both"/>
        <w:rPr>
          <w:sz w:val="28"/>
          <w:szCs w:val="28"/>
          <w:lang w:val="uk-UA"/>
        </w:rPr>
      </w:pPr>
      <w:r w:rsidRPr="00D47484">
        <w:rPr>
          <w:sz w:val="28"/>
          <w:szCs w:val="28"/>
          <w:lang w:val="uk-UA"/>
        </w:rPr>
        <w:t xml:space="preserve">2. Особові справи </w:t>
      </w:r>
      <w:r>
        <w:rPr>
          <w:sz w:val="28"/>
          <w:szCs w:val="28"/>
          <w:lang w:val="uk-UA"/>
        </w:rPr>
        <w:t>посадових осіб</w:t>
      </w:r>
      <w:r w:rsidRPr="00D47484">
        <w:rPr>
          <w:sz w:val="28"/>
          <w:szCs w:val="28"/>
          <w:lang w:val="uk-UA"/>
        </w:rPr>
        <w:t xml:space="preserve"> (крім відомостей у деклараціях </w:t>
      </w:r>
      <w:r>
        <w:rPr>
          <w:sz w:val="28"/>
          <w:szCs w:val="28"/>
          <w:lang w:val="uk-UA"/>
        </w:rPr>
        <w:t>посадових осіб</w:t>
      </w:r>
      <w:r w:rsidRPr="00D47484">
        <w:rPr>
          <w:sz w:val="28"/>
          <w:szCs w:val="28"/>
          <w:lang w:val="uk-UA"/>
        </w:rPr>
        <w:t>, визначених Законом України "Про запобігання  корупції", та персональних даних, що стосуються здійснення особою, яка займає посаду, пов’язану із виконанням функцій держави</w:t>
      </w:r>
      <w:r>
        <w:rPr>
          <w:sz w:val="28"/>
          <w:szCs w:val="28"/>
          <w:lang w:val="uk-UA"/>
        </w:rPr>
        <w:t xml:space="preserve"> або місцевого самоврядування</w:t>
      </w:r>
      <w:bookmarkStart w:id="0" w:name="_GoBack"/>
      <w:bookmarkEnd w:id="0"/>
      <w:r w:rsidRPr="00D47484">
        <w:rPr>
          <w:sz w:val="28"/>
          <w:szCs w:val="28"/>
          <w:lang w:val="uk-UA"/>
        </w:rPr>
        <w:t>, посадових або службових повноважень).</w:t>
      </w:r>
    </w:p>
    <w:p w:rsidR="0076031C" w:rsidRPr="00D47484" w:rsidRDefault="0076031C" w:rsidP="0076031C">
      <w:pPr>
        <w:ind w:firstLine="708"/>
        <w:jc w:val="both"/>
        <w:rPr>
          <w:sz w:val="28"/>
          <w:szCs w:val="28"/>
          <w:lang w:val="uk-UA"/>
        </w:rPr>
      </w:pPr>
    </w:p>
    <w:p w:rsidR="0076031C" w:rsidRPr="00D47484" w:rsidRDefault="0076031C" w:rsidP="0076031C">
      <w:pPr>
        <w:ind w:firstLine="708"/>
        <w:jc w:val="both"/>
        <w:rPr>
          <w:sz w:val="28"/>
          <w:szCs w:val="28"/>
          <w:shd w:val="clear" w:color="auto" w:fill="FFFFFF"/>
          <w:lang w:val="uk-UA"/>
        </w:rPr>
      </w:pPr>
      <w:r w:rsidRPr="00D47484">
        <w:rPr>
          <w:sz w:val="28"/>
          <w:szCs w:val="28"/>
          <w:lang w:val="uk-UA"/>
        </w:rPr>
        <w:t xml:space="preserve">3. </w:t>
      </w:r>
      <w:r w:rsidRPr="00D47484">
        <w:rPr>
          <w:sz w:val="28"/>
          <w:szCs w:val="28"/>
          <w:shd w:val="clear" w:color="auto" w:fill="FFFFFF"/>
          <w:lang w:val="uk-UA"/>
        </w:rPr>
        <w:t>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особи, уповноваженої на виконання функцій держави або місцевого самоврядування, місцезнаходження об’єктів, які наводяться в декларації (крім області, району, населеного пункту, де знаходиться об’єкт).</w:t>
      </w:r>
    </w:p>
    <w:p w:rsidR="0076031C" w:rsidRPr="00D47484" w:rsidRDefault="0076031C" w:rsidP="0076031C">
      <w:pPr>
        <w:ind w:firstLine="709"/>
        <w:jc w:val="both"/>
        <w:rPr>
          <w:sz w:val="28"/>
          <w:szCs w:val="28"/>
          <w:lang w:val="uk-UA"/>
        </w:rPr>
      </w:pPr>
    </w:p>
    <w:tbl>
      <w:tblPr>
        <w:tblW w:w="0" w:type="auto"/>
        <w:tblLook w:val="01E0"/>
      </w:tblPr>
      <w:tblGrid>
        <w:gridCol w:w="1305"/>
        <w:gridCol w:w="399"/>
        <w:gridCol w:w="8094"/>
      </w:tblGrid>
      <w:tr w:rsidR="0076031C" w:rsidRPr="00BE5F16" w:rsidTr="00D22C10">
        <w:trPr>
          <w:trHeight w:val="1076"/>
        </w:trPr>
        <w:tc>
          <w:tcPr>
            <w:tcW w:w="1305" w:type="dxa"/>
          </w:tcPr>
          <w:p w:rsidR="0076031C" w:rsidRPr="00D47484" w:rsidRDefault="0076031C" w:rsidP="00D22C10">
            <w:pPr>
              <w:jc w:val="both"/>
              <w:rPr>
                <w:lang w:val="uk-UA"/>
              </w:rPr>
            </w:pPr>
            <w:r w:rsidRPr="00D47484">
              <w:rPr>
                <w:u w:val="single"/>
                <w:lang w:val="uk-UA"/>
              </w:rPr>
              <w:t>Примітки:</w:t>
            </w:r>
          </w:p>
        </w:tc>
        <w:tc>
          <w:tcPr>
            <w:tcW w:w="399" w:type="dxa"/>
          </w:tcPr>
          <w:p w:rsidR="0076031C" w:rsidRPr="00D47484" w:rsidRDefault="0076031C" w:rsidP="00D22C10">
            <w:pPr>
              <w:rPr>
                <w:lang w:val="uk-UA"/>
              </w:rPr>
            </w:pPr>
            <w:r w:rsidRPr="00D47484">
              <w:rPr>
                <w:lang w:val="uk-UA"/>
              </w:rPr>
              <w:t>1.</w:t>
            </w:r>
          </w:p>
        </w:tc>
        <w:tc>
          <w:tcPr>
            <w:tcW w:w="8094" w:type="dxa"/>
          </w:tcPr>
          <w:p w:rsidR="0076031C" w:rsidRPr="00D47484" w:rsidRDefault="0076031C" w:rsidP="00D22C10">
            <w:pPr>
              <w:shd w:val="clear" w:color="auto" w:fill="FFFFFF"/>
              <w:ind w:firstLine="6"/>
              <w:jc w:val="both"/>
              <w:textAlignment w:val="baseline"/>
              <w:rPr>
                <w:lang w:val="uk-UA"/>
              </w:rPr>
            </w:pPr>
            <w:r w:rsidRPr="00D47484">
              <w:rPr>
                <w:lang w:val="uk-UA"/>
              </w:rPr>
              <w:t>Не є конфіденційною інформацією персональні дані, що стосуються здійснення особою, яка займає посаду, пов’язану з виконанням функцій держави або органів місцевого самоврядування, посадових або службових повноважень.</w:t>
            </w:r>
          </w:p>
        </w:tc>
      </w:tr>
      <w:tr w:rsidR="0076031C" w:rsidRPr="00BE5F16" w:rsidTr="00D22C10">
        <w:tc>
          <w:tcPr>
            <w:tcW w:w="1305" w:type="dxa"/>
          </w:tcPr>
          <w:p w:rsidR="0076031C" w:rsidRPr="00D47484" w:rsidRDefault="0076031C" w:rsidP="00D22C10">
            <w:pPr>
              <w:jc w:val="both"/>
              <w:rPr>
                <w:u w:val="single"/>
                <w:lang w:val="uk-UA"/>
              </w:rPr>
            </w:pPr>
          </w:p>
        </w:tc>
        <w:tc>
          <w:tcPr>
            <w:tcW w:w="399" w:type="dxa"/>
          </w:tcPr>
          <w:p w:rsidR="0076031C" w:rsidRPr="00D47484" w:rsidRDefault="0076031C" w:rsidP="00D22C10">
            <w:pPr>
              <w:rPr>
                <w:lang w:val="uk-UA"/>
              </w:rPr>
            </w:pPr>
            <w:r w:rsidRPr="00D47484">
              <w:rPr>
                <w:lang w:val="uk-UA"/>
              </w:rPr>
              <w:t>2.</w:t>
            </w:r>
          </w:p>
        </w:tc>
        <w:tc>
          <w:tcPr>
            <w:tcW w:w="8094" w:type="dxa"/>
          </w:tcPr>
          <w:p w:rsidR="0076031C" w:rsidRPr="00D47484" w:rsidRDefault="0076031C" w:rsidP="00D22C10">
            <w:pPr>
              <w:jc w:val="both"/>
              <w:rPr>
                <w:lang w:val="uk-UA"/>
              </w:rPr>
            </w:pPr>
            <w:r w:rsidRPr="00D47484">
              <w:rPr>
                <w:lang w:val="uk-UA"/>
              </w:rPr>
              <w:t>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крім випадків, передбачених статтею 6 Закону України "Про доступ до публічної інформації", у тому числі відомості, зазначені у декларації особи, уповноваженої на виконання функцій держави або місцевого самоврядування, поданій відповідно до</w:t>
            </w:r>
            <w:r w:rsidRPr="00D47484">
              <w:t> </w:t>
            </w:r>
            <w:hyperlink r:id="rId6" w:anchor="n3" w:tgtFrame="_blank" w:history="1">
              <w:r w:rsidRPr="00D47484">
                <w:rPr>
                  <w:color w:val="0000FF"/>
                  <w:u w:val="single"/>
                  <w:bdr w:val="none" w:sz="0" w:space="0" w:color="auto" w:frame="1"/>
                  <w:lang w:val="uk-UA"/>
                </w:rPr>
                <w:t>Закону України</w:t>
              </w:r>
            </w:hyperlink>
            <w:r w:rsidRPr="00D47484">
              <w:t> </w:t>
            </w:r>
            <w:r w:rsidRPr="00D47484">
              <w:rPr>
                <w:lang w:val="uk-UA"/>
              </w:rPr>
              <w:t>"Про запобігання корупції", крім відомостей, зазначених в</w:t>
            </w:r>
            <w:r w:rsidRPr="00D47484">
              <w:t> </w:t>
            </w:r>
            <w:hyperlink r:id="rId7" w:anchor="n479" w:tgtFrame="_blank" w:history="1">
              <w:r w:rsidRPr="00D47484">
                <w:rPr>
                  <w:color w:val="0000FF"/>
                  <w:u w:val="single"/>
                  <w:bdr w:val="none" w:sz="0" w:space="0" w:color="auto" w:frame="1"/>
                  <w:lang w:val="uk-UA"/>
                </w:rPr>
                <w:t>абзаці четвертому</w:t>
              </w:r>
            </w:hyperlink>
            <w:r w:rsidRPr="00D47484">
              <w:t> </w:t>
            </w:r>
            <w:r w:rsidRPr="00D47484">
              <w:rPr>
                <w:lang w:val="uk-UA"/>
              </w:rPr>
              <w:t>частини першої статті 47 вказаного Закону.</w:t>
            </w:r>
          </w:p>
          <w:p w:rsidR="0076031C" w:rsidRPr="00D47484" w:rsidRDefault="0076031C" w:rsidP="00D22C10">
            <w:pPr>
              <w:jc w:val="both"/>
              <w:rPr>
                <w:lang w:val="uk-UA"/>
              </w:rPr>
            </w:pPr>
          </w:p>
        </w:tc>
      </w:tr>
    </w:tbl>
    <w:p w:rsidR="0076031C" w:rsidRPr="00D47484" w:rsidRDefault="0076031C" w:rsidP="0076031C">
      <w:pPr>
        <w:ind w:firstLine="709"/>
        <w:jc w:val="both"/>
        <w:rPr>
          <w:sz w:val="28"/>
          <w:szCs w:val="28"/>
          <w:lang w:val="uk-UA"/>
        </w:rPr>
      </w:pPr>
    </w:p>
    <w:p w:rsidR="0076031C" w:rsidRPr="00D47484" w:rsidRDefault="0076031C" w:rsidP="0076031C">
      <w:pPr>
        <w:jc w:val="center"/>
        <w:rPr>
          <w:rFonts w:ascii="Arial" w:hAnsi="Arial" w:cs="Arial"/>
          <w:lang w:val="uk-UA"/>
        </w:rPr>
      </w:pPr>
      <w:r w:rsidRPr="00D47484">
        <w:rPr>
          <w:sz w:val="28"/>
          <w:szCs w:val="28"/>
          <w:lang w:val="uk-UA"/>
        </w:rPr>
        <w:t>______________________</w:t>
      </w:r>
    </w:p>
    <w:p w:rsidR="0076031C" w:rsidRPr="00D8390A" w:rsidRDefault="0076031C" w:rsidP="0076031C">
      <w:pPr>
        <w:tabs>
          <w:tab w:val="left" w:pos="915"/>
        </w:tabs>
        <w:jc w:val="both"/>
        <w:rPr>
          <w:sz w:val="28"/>
          <w:szCs w:val="28"/>
          <w:lang w:val="uk-UA"/>
        </w:rPr>
      </w:pPr>
    </w:p>
    <w:p w:rsidR="00DE160B" w:rsidRDefault="00DE160B"/>
    <w:sectPr w:rsidR="00DE160B" w:rsidSect="00C10F0D">
      <w:pgSz w:w="11906" w:h="16838"/>
      <w:pgMar w:top="284" w:right="567" w:bottom="1134" w:left="1701" w:header="17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42" w:rsidRDefault="0076031C">
    <w:pPr>
      <w:pStyle w:val="a3"/>
      <w:jc w:val="center"/>
      <w:rPr>
        <w:sz w:val="28"/>
        <w:szCs w:val="28"/>
        <w:lang w:val="uk-UA"/>
      </w:rPr>
    </w:pPr>
    <w:r w:rsidRPr="00F55B42">
      <w:rPr>
        <w:sz w:val="28"/>
        <w:szCs w:val="28"/>
      </w:rPr>
      <w:fldChar w:fldCharType="begin"/>
    </w:r>
    <w:r w:rsidRPr="00F55B42">
      <w:rPr>
        <w:sz w:val="28"/>
        <w:szCs w:val="28"/>
      </w:rPr>
      <w:instrText xml:space="preserve"> PAGE   \* MERGEFORMAT </w:instrText>
    </w:r>
    <w:r w:rsidRPr="00F55B42">
      <w:rPr>
        <w:sz w:val="28"/>
        <w:szCs w:val="28"/>
      </w:rPr>
      <w:fldChar w:fldCharType="separate"/>
    </w:r>
    <w:r>
      <w:rPr>
        <w:noProof/>
        <w:sz w:val="28"/>
        <w:szCs w:val="28"/>
      </w:rPr>
      <w:t>7</w:t>
    </w:r>
    <w:r w:rsidRPr="00F55B42">
      <w:rPr>
        <w:sz w:val="28"/>
        <w:szCs w:val="28"/>
      </w:rPr>
      <w:fldChar w:fldCharType="end"/>
    </w:r>
  </w:p>
  <w:p w:rsidR="00F55B42" w:rsidRPr="00F55B42" w:rsidRDefault="0076031C" w:rsidP="00F55B42">
    <w:pPr>
      <w:pStyle w:val="a3"/>
      <w:jc w:val="right"/>
      <w:rPr>
        <w:sz w:val="28"/>
        <w:szCs w:val="28"/>
        <w:lang w:val="uk-UA"/>
      </w:rPr>
    </w:pPr>
  </w:p>
  <w:p w:rsidR="00A84A86" w:rsidRDefault="0076031C">
    <w:pPr>
      <w:pStyle w:val="a3"/>
      <w:rPr>
        <w:sz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D6FE6"/>
    <w:multiLevelType w:val="hybridMultilevel"/>
    <w:tmpl w:val="19CA9F28"/>
    <w:lvl w:ilvl="0" w:tplc="FA9A79EE">
      <w:start w:val="1"/>
      <w:numFmt w:val="decimal"/>
      <w:lvlText w:val="%1."/>
      <w:lvlJc w:val="left"/>
      <w:pPr>
        <w:tabs>
          <w:tab w:val="num" w:pos="1288"/>
        </w:tabs>
        <w:ind w:left="1288" w:hanging="72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31C"/>
    <w:rsid w:val="0076031C"/>
    <w:rsid w:val="00A57581"/>
    <w:rsid w:val="00DE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1C"/>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31C"/>
    <w:pPr>
      <w:tabs>
        <w:tab w:val="center" w:pos="4677"/>
        <w:tab w:val="right" w:pos="9355"/>
      </w:tabs>
    </w:pPr>
  </w:style>
  <w:style w:type="character" w:customStyle="1" w:styleId="a4">
    <w:name w:val="Верхний колонтитул Знак"/>
    <w:basedOn w:val="a0"/>
    <w:link w:val="a3"/>
    <w:uiPriority w:val="99"/>
    <w:rsid w:val="0076031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1700-18/paran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1700-18/paran3" TargetMode="Externa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2529</Words>
  <Characters>14417</Characters>
  <Application>Microsoft Office Word</Application>
  <DocSecurity>0</DocSecurity>
  <Lines>120</Lines>
  <Paragraphs>33</Paragraphs>
  <ScaleCrop>false</ScaleCrop>
  <Company>SPecialiST RePack</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2021-04-29T09:06:00Z</dcterms:created>
  <dcterms:modified xsi:type="dcterms:W3CDTF">2021-04-29T09:07:00Z</dcterms:modified>
</cp:coreProperties>
</file>