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5AF" w:rsidRDefault="000145B6">
      <w:pPr>
        <w:jc w:val="center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8785" cy="6464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3878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5AF" w:rsidRDefault="00FC05AF">
      <w:pPr>
        <w:spacing w:after="79" w:line="1" w:lineRule="exact"/>
      </w:pPr>
    </w:p>
    <w:p w:rsidR="00FC05AF" w:rsidRDefault="000145B6">
      <w:pPr>
        <w:pStyle w:val="1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ДЕРЖГЕОКАДАСТР</w:t>
      </w:r>
    </w:p>
    <w:p w:rsidR="00FC05AF" w:rsidRDefault="000145B6">
      <w:pPr>
        <w:pStyle w:val="20"/>
      </w:pPr>
      <w:r>
        <w:rPr>
          <w:b/>
          <w:bCs/>
          <w:sz w:val="22"/>
          <w:szCs w:val="22"/>
        </w:rPr>
        <w:t>Головне управління Держгеокадастру у Кіровоградській області</w:t>
      </w:r>
      <w:r>
        <w:rPr>
          <w:b/>
          <w:bCs/>
          <w:sz w:val="22"/>
          <w:szCs w:val="22"/>
        </w:rPr>
        <w:br/>
      </w:r>
      <w:r>
        <w:t>вул. Академіка Корольова, 26, м. Кропивницький, 25030, тел.(0522) 55-10- 44, факс 55-10-39</w:t>
      </w:r>
      <w:r>
        <w:br/>
        <w:t xml:space="preserve">е-таіі: </w:t>
      </w:r>
      <w:r>
        <w:rPr>
          <w:u w:val="single"/>
        </w:rPr>
        <w:t>кігоуоіігасі@1ап&lt;і.£оу.иа,</w:t>
      </w:r>
      <w:r>
        <w:t xml:space="preserve"> код ЄДРПОУ 39767636</w:t>
      </w:r>
    </w:p>
    <w:p w:rsidR="00FC05AF" w:rsidRDefault="000145B6">
      <w:pPr>
        <w:pStyle w:val="1"/>
        <w:spacing w:after="30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АКТ</w:t>
      </w:r>
      <w:r>
        <w:rPr>
          <w:b/>
          <w:bCs/>
          <w:sz w:val="26"/>
          <w:szCs w:val="26"/>
        </w:rPr>
        <w:br/>
        <w:t>ПЕРЕВІРКИ ДОТРИМАННЯ ВИМОГ</w:t>
      </w:r>
      <w:r>
        <w:rPr>
          <w:b/>
          <w:bCs/>
          <w:sz w:val="26"/>
          <w:szCs w:val="26"/>
        </w:rPr>
        <w:t xml:space="preserve"> ЗЕМЕЛЬНОГО</w:t>
      </w:r>
      <w:r>
        <w:rPr>
          <w:b/>
          <w:bCs/>
          <w:sz w:val="26"/>
          <w:szCs w:val="26"/>
        </w:rPr>
        <w:br/>
        <w:t>ЗАКОНОДАВСТВА</w:t>
      </w:r>
    </w:p>
    <w:p w:rsidR="00FC05AF" w:rsidRDefault="000145B6">
      <w:pPr>
        <w:pStyle w:val="1"/>
        <w:spacing w:after="300" w:line="226" w:lineRule="auto"/>
        <w:ind w:firstLine="0"/>
        <w:jc w:val="center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14 квітня 2021 року с. Велика Северинка № 210-ДК/167/АП/09/01/-21</w:t>
      </w:r>
    </w:p>
    <w:p w:rsidR="00FC05AF" w:rsidRDefault="000145B6">
      <w:pPr>
        <w:pStyle w:val="1"/>
        <w:ind w:firstLine="420"/>
        <w:jc w:val="both"/>
      </w:pPr>
      <w:r>
        <w:t>Мною: державним інспектором у сфері державного контролю за використанням та охороною земель і дотриманням вимог законодавства України про охорону земель, головним с</w:t>
      </w:r>
      <w:r>
        <w:t>пеціалістом відділу контролю за використанням та охороною земель у Кропивницькому, Олександрівському, Знам’янському районах та у м. Кропивницькому Кириченко Ярославою Іванівною.</w:t>
      </w:r>
    </w:p>
    <w:p w:rsidR="00FC05AF" w:rsidRDefault="000145B6">
      <w:pPr>
        <w:pStyle w:val="1"/>
        <w:ind w:firstLine="420"/>
        <w:jc w:val="both"/>
      </w:pPr>
      <w:r>
        <w:t>Керуючись ст. 6 і 10 Закону України «Про державний контроль за використанням т</w:t>
      </w:r>
      <w:r>
        <w:t>а охороною земель», Наказом Міністерства аграрної політики та продовольства України від 05.03.2018 № 124, Положенням про Головне управління Держгеокадастру у Кіровоградській області, затвердженого наказом Державної служби України з питань геодезії, картогр</w:t>
      </w:r>
      <w:r>
        <w:t>афії та кадастру від 17.11.20)6 року № 308 (у редакції наказу Держгеокадастру від 20.02.2020 року № 53), у зв’язку із надходженням колективного звернення членів Великосеверинівської територіальної громади Кропивницького району Кіровоградської області від 1</w:t>
      </w:r>
      <w:r>
        <w:t>7.03.2021 № б/н, наказом Головного управління Держгеокадастру у Кіровоградській області від 29.03.2021 року № 210-ДК, проведено перевірку, щодо здійснення державного контролю за використанням та охороною земель, щодо прийнятих рішень про відмову надання зе</w:t>
      </w:r>
      <w:r>
        <w:t>мельних ділянок у власність у період з 01.04.2020 по 01.04.2021 Великосеверинівською сільською радою Кропивницького району Кіровоградської області</w:t>
      </w:r>
    </w:p>
    <w:p w:rsidR="00FC05AF" w:rsidRDefault="000145B6">
      <w:pPr>
        <w:pStyle w:val="1"/>
        <w:ind w:firstLine="420"/>
        <w:jc w:val="both"/>
      </w:pPr>
      <w:r>
        <w:rPr>
          <w:b/>
          <w:bCs/>
        </w:rPr>
        <w:t>Перевіркою встановлено:</w:t>
      </w:r>
    </w:p>
    <w:p w:rsidR="00FC05AF" w:rsidRDefault="000145B6">
      <w:pPr>
        <w:pStyle w:val="1"/>
        <w:ind w:firstLine="420"/>
        <w:jc w:val="both"/>
      </w:pPr>
      <w:r>
        <w:t>Згідно статті 19 Конституції України органи державної влади та органи місцевого самов</w:t>
      </w:r>
      <w:r>
        <w:t>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:rsidR="00FC05AF" w:rsidRDefault="000145B6">
      <w:pPr>
        <w:pStyle w:val="1"/>
        <w:ind w:firstLine="420"/>
        <w:jc w:val="both"/>
      </w:pPr>
      <w:r>
        <w:t>За змістом п. 34 статті 26 Закону України "Про місцеве самоврядування в Україні" вирішення відповідно до зако</w:t>
      </w:r>
      <w:r>
        <w:t>ну питання регулювання земельних відносин вирішуються виключно на пленарних засіданнях сільської, селищної, міської ради.</w:t>
      </w:r>
    </w:p>
    <w:p w:rsidR="00FC05AF" w:rsidRDefault="000145B6">
      <w:pPr>
        <w:pStyle w:val="1"/>
        <w:ind w:firstLine="420"/>
        <w:jc w:val="both"/>
      </w:pPr>
      <w:r>
        <w:t>Відповідно статті 12 Земельного кодексу України (далі ЗКУ) до повноважень сільських, селищних, міських рад у галузі земельних відносин</w:t>
      </w:r>
      <w:r>
        <w:t xml:space="preserve"> на території сіл, селищ, міст належить:</w:t>
      </w:r>
    </w:p>
    <w:p w:rsidR="00FC05AF" w:rsidRDefault="000145B6">
      <w:pPr>
        <w:pStyle w:val="1"/>
        <w:tabs>
          <w:tab w:val="left" w:pos="708"/>
        </w:tabs>
      </w:pPr>
      <w:bookmarkStart w:id="0" w:name="bookmark0"/>
      <w:r>
        <w:t>а</w:t>
      </w:r>
      <w:bookmarkEnd w:id="0"/>
      <w:r>
        <w:t>)</w:t>
      </w:r>
      <w:r>
        <w:tab/>
        <w:t>розпорядження землями територіальних громад;</w:t>
      </w:r>
    </w:p>
    <w:p w:rsidR="00FC05AF" w:rsidRDefault="000145B6">
      <w:pPr>
        <w:pStyle w:val="1"/>
        <w:tabs>
          <w:tab w:val="left" w:pos="716"/>
        </w:tabs>
        <w:ind w:firstLine="420"/>
        <w:jc w:val="both"/>
      </w:pPr>
      <w:bookmarkStart w:id="1" w:name="bookmark1"/>
      <w:r>
        <w:t>б</w:t>
      </w:r>
      <w:bookmarkEnd w:id="1"/>
      <w:r>
        <w:t>)</w:t>
      </w:r>
      <w:r>
        <w:tab/>
        <w:t>передача земельних ділянок комунальної власності у власність громадян та юридичних осіб відповідно до цього Кодексу;</w:t>
      </w:r>
    </w:p>
    <w:p w:rsidR="00FC05AF" w:rsidRDefault="000145B6">
      <w:pPr>
        <w:pStyle w:val="1"/>
        <w:tabs>
          <w:tab w:val="left" w:pos="721"/>
        </w:tabs>
        <w:ind w:firstLine="420"/>
        <w:jc w:val="both"/>
      </w:pPr>
      <w:bookmarkStart w:id="2" w:name="bookmark2"/>
      <w:r>
        <w:t>в</w:t>
      </w:r>
      <w:bookmarkEnd w:id="2"/>
      <w:r>
        <w:t>)</w:t>
      </w:r>
      <w:r>
        <w:tab/>
        <w:t xml:space="preserve">надання земельних ділянок у користування із </w:t>
      </w:r>
      <w:r>
        <w:t>земель комунальної власності відповідно до цього Кодексу;</w:t>
      </w:r>
    </w:p>
    <w:p w:rsidR="00FC05AF" w:rsidRDefault="000145B6">
      <w:pPr>
        <w:pStyle w:val="1"/>
        <w:tabs>
          <w:tab w:val="left" w:pos="716"/>
        </w:tabs>
        <w:ind w:firstLine="420"/>
        <w:jc w:val="both"/>
      </w:pPr>
      <w:bookmarkStart w:id="3" w:name="bookmark3"/>
      <w:r>
        <w:t>г</w:t>
      </w:r>
      <w:bookmarkEnd w:id="3"/>
      <w:r>
        <w:t>)</w:t>
      </w:r>
      <w:r>
        <w:tab/>
        <w:t>вилучення земельних ділянок із земель комунальної власності відповідно до цього Кодексу;</w:t>
      </w:r>
    </w:p>
    <w:p w:rsidR="00FC05AF" w:rsidRDefault="000145B6">
      <w:pPr>
        <w:pStyle w:val="1"/>
        <w:ind w:firstLine="420"/>
        <w:jc w:val="both"/>
      </w:pPr>
      <w:r>
        <w:t>ґ) викуп земельних ділянок для суспільних потреб відповідних територіальних громад сіл, селищ, міст;</w:t>
      </w:r>
    </w:p>
    <w:p w:rsidR="00FC05AF" w:rsidRDefault="000145B6">
      <w:pPr>
        <w:pStyle w:val="1"/>
        <w:tabs>
          <w:tab w:val="left" w:pos="752"/>
        </w:tabs>
        <w:ind w:firstLine="420"/>
        <w:jc w:val="both"/>
      </w:pPr>
      <w:bookmarkStart w:id="4" w:name="bookmark4"/>
      <w:r>
        <w:t>д</w:t>
      </w:r>
      <w:bookmarkEnd w:id="4"/>
      <w:r>
        <w:t>)</w:t>
      </w:r>
      <w:r>
        <w:tab/>
      </w:r>
      <w:r>
        <w:t>організація землеустрою;</w:t>
      </w:r>
    </w:p>
    <w:p w:rsidR="00FC05AF" w:rsidRDefault="000145B6">
      <w:pPr>
        <w:pStyle w:val="1"/>
        <w:tabs>
          <w:tab w:val="left" w:pos="732"/>
        </w:tabs>
        <w:spacing w:after="300"/>
      </w:pPr>
      <w:bookmarkStart w:id="5" w:name="bookmark5"/>
      <w:r>
        <w:t>е</w:t>
      </w:r>
      <w:bookmarkEnd w:id="5"/>
      <w:r>
        <w:t>)</w:t>
      </w:r>
      <w:r>
        <w:tab/>
        <w:t>координація діяльності місцевих органів земельних ресурсів;</w:t>
      </w:r>
    </w:p>
    <w:p w:rsidR="00FC05AF" w:rsidRDefault="000145B6">
      <w:pPr>
        <w:pStyle w:val="1"/>
        <w:ind w:firstLine="420"/>
        <w:jc w:val="both"/>
      </w:pPr>
      <w:r>
        <w:t xml:space="preserve">є) здійснення контролю за використанням та охороною земель комунальної власності, </w:t>
      </w:r>
      <w:r>
        <w:lastRenderedPageBreak/>
        <w:t>додержанням земельного та екологічного законодавства;</w:t>
      </w:r>
    </w:p>
    <w:p w:rsidR="00FC05AF" w:rsidRDefault="000145B6">
      <w:pPr>
        <w:pStyle w:val="1"/>
        <w:tabs>
          <w:tab w:val="left" w:pos="750"/>
        </w:tabs>
        <w:ind w:firstLine="420"/>
        <w:jc w:val="both"/>
      </w:pPr>
      <w:bookmarkStart w:id="6" w:name="bookmark6"/>
      <w:r>
        <w:t>ж</w:t>
      </w:r>
      <w:bookmarkEnd w:id="6"/>
      <w:r>
        <w:t>)</w:t>
      </w:r>
      <w:r>
        <w:tab/>
        <w:t>обмеження, тимчасова заборона</w:t>
      </w:r>
      <w:r>
        <w:t xml:space="preserve"> (зупинення) використання земель громадянами і юридичними особами у разі порушення ними вимог земельного законодавства;</w:t>
      </w:r>
    </w:p>
    <w:p w:rsidR="00FC05AF" w:rsidRDefault="000145B6">
      <w:pPr>
        <w:pStyle w:val="1"/>
        <w:tabs>
          <w:tab w:val="left" w:pos="745"/>
        </w:tabs>
        <w:ind w:firstLine="420"/>
        <w:jc w:val="both"/>
      </w:pPr>
      <w:bookmarkStart w:id="7" w:name="bookmark7"/>
      <w:r>
        <w:t>з</w:t>
      </w:r>
      <w:bookmarkEnd w:id="7"/>
      <w:r>
        <w:t>)</w:t>
      </w:r>
      <w:r>
        <w:tab/>
        <w:t>підготовка висновків щодо вилучення (викупу) та надання земельних ділянок відповідно до цього Кодексу;</w:t>
      </w:r>
    </w:p>
    <w:p w:rsidR="00FC05AF" w:rsidRDefault="000145B6">
      <w:pPr>
        <w:pStyle w:val="1"/>
        <w:tabs>
          <w:tab w:val="left" w:pos="795"/>
        </w:tabs>
        <w:ind w:left="400" w:firstLine="20"/>
        <w:jc w:val="both"/>
      </w:pPr>
      <w:bookmarkStart w:id="8" w:name="bookmark8"/>
      <w:r>
        <w:t>и</w:t>
      </w:r>
      <w:bookmarkEnd w:id="8"/>
      <w:r>
        <w:t>)</w:t>
      </w:r>
      <w:r>
        <w:tab/>
        <w:t>встановлення та зміна меж р</w:t>
      </w:r>
      <w:r>
        <w:t>айонів у містах з районним поділом;</w:t>
      </w:r>
    </w:p>
    <w:p w:rsidR="00FC05AF" w:rsidRDefault="000145B6">
      <w:pPr>
        <w:pStyle w:val="1"/>
        <w:ind w:left="400" w:firstLine="20"/>
        <w:jc w:val="both"/>
      </w:pPr>
      <w:r>
        <w:t>і) інформування населення щодо вилучення (викупу), надання земельних ділянок;</w:t>
      </w:r>
    </w:p>
    <w:p w:rsidR="00FC05AF" w:rsidRDefault="000145B6">
      <w:pPr>
        <w:pStyle w:val="1"/>
        <w:ind w:left="400" w:firstLine="20"/>
        <w:jc w:val="both"/>
      </w:pPr>
      <w:r>
        <w:t>ї) внесення пропозицій до районної ради щодо встановлення і зміни меж сіл, селищ, міст; й) вирішення земельних спорів;</w:t>
      </w:r>
    </w:p>
    <w:p w:rsidR="00FC05AF" w:rsidRDefault="000145B6">
      <w:pPr>
        <w:pStyle w:val="1"/>
        <w:tabs>
          <w:tab w:val="left" w:pos="747"/>
        </w:tabs>
        <w:ind w:left="400" w:firstLine="20"/>
        <w:jc w:val="both"/>
      </w:pPr>
      <w:bookmarkStart w:id="9" w:name="bookmark9"/>
      <w:r>
        <w:t>к</w:t>
      </w:r>
      <w:bookmarkEnd w:id="9"/>
      <w:r>
        <w:t>)</w:t>
      </w:r>
      <w:r>
        <w:tab/>
        <w:t>вирішення інших пита</w:t>
      </w:r>
      <w:r>
        <w:t>нь у галузі земельних відносин відповідно до закону.</w:t>
      </w:r>
    </w:p>
    <w:p w:rsidR="00FC05AF" w:rsidRDefault="000145B6">
      <w:pPr>
        <w:pStyle w:val="1"/>
        <w:ind w:firstLine="420"/>
        <w:jc w:val="both"/>
      </w:pPr>
      <w:r>
        <w:t>До повноважень виконавчих органів сільських, селищних, міських рад у галузі земельних відносин на території сіл, селищ, міст належать:</w:t>
      </w:r>
    </w:p>
    <w:p w:rsidR="00FC05AF" w:rsidRDefault="000145B6">
      <w:pPr>
        <w:pStyle w:val="1"/>
        <w:numPr>
          <w:ilvl w:val="0"/>
          <w:numId w:val="1"/>
        </w:numPr>
        <w:tabs>
          <w:tab w:val="left" w:pos="718"/>
        </w:tabs>
        <w:ind w:firstLine="420"/>
        <w:jc w:val="both"/>
      </w:pPr>
      <w:bookmarkStart w:id="10" w:name="bookmark10"/>
      <w:bookmarkEnd w:id="10"/>
      <w:r>
        <w:t>надання відомостей з Державного земельного кадастру відповідно до за</w:t>
      </w:r>
      <w:r>
        <w:t>кону;</w:t>
      </w:r>
    </w:p>
    <w:p w:rsidR="00FC05AF" w:rsidRDefault="000145B6">
      <w:pPr>
        <w:pStyle w:val="1"/>
        <w:numPr>
          <w:ilvl w:val="0"/>
          <w:numId w:val="1"/>
        </w:numPr>
        <w:tabs>
          <w:tab w:val="left" w:pos="747"/>
        </w:tabs>
        <w:ind w:firstLine="420"/>
        <w:jc w:val="both"/>
      </w:pPr>
      <w:bookmarkStart w:id="11" w:name="bookmark11"/>
      <w:bookmarkEnd w:id="11"/>
      <w:r>
        <w:t>вирішення інших питань у галузі земельних відносин відповідно до закону.</w:t>
      </w:r>
    </w:p>
    <w:p w:rsidR="00FC05AF" w:rsidRDefault="000145B6">
      <w:pPr>
        <w:pStyle w:val="1"/>
        <w:ind w:firstLine="420"/>
        <w:jc w:val="both"/>
      </w:pPr>
      <w:r>
        <w:t>Відповідно до пункту 1 статті 118 Земельного кодексу України, сільські, селищні, міські ради передають земельні ділянки у власність або у користування із земель комунальної влас</w:t>
      </w:r>
      <w:r>
        <w:t>ності відповідних територіальних громад для всіх потреб.</w:t>
      </w:r>
    </w:p>
    <w:p w:rsidR="00FC05AF" w:rsidRDefault="000145B6">
      <w:pPr>
        <w:pStyle w:val="1"/>
        <w:ind w:firstLine="420"/>
        <w:jc w:val="both"/>
      </w:pPr>
      <w:r>
        <w:t xml:space="preserve">За приписами пункту 6 статті 118 Земельного кодексу України громадяни, зацікавлені в одержанні безоплатно у власність земельної ділянки із земель державної або комунальної власності для ведення </w:t>
      </w:r>
      <w:r>
        <w:t>фермерського господарства, ведення особистого селянського господарства, ведення садівництва, будівництва та обслуговування жилого будинку, господарських будівель і споруд (присадибної ділянки), індивідуального дачного будівництва, будівництва індивідуальни</w:t>
      </w:r>
      <w:r>
        <w:t>х гаражів у межах норм безоплатної приватизації, подають клопотання до відповідного органу виконавчої влади або органу місцевого самоврядування, який передає земельні ділянки державної чи комунальної власності у власність відповідно до повноважень, визначе</w:t>
      </w:r>
      <w:r>
        <w:t xml:space="preserve">них статтею 122 цього Кодексу. У клопотанні зазначаються цільове призначення земельної ділянки та її орієнтовні розміри. До клопотання додаються графічні матеріали, на яких зазначено бажане місце розташування земельної ділянки, погодження землекористувача </w:t>
      </w:r>
      <w:r>
        <w:t>(у разі вилучення земельної ділянки, що перебуває у користуванні інших осіб) та 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ведення</w:t>
      </w:r>
      <w:r>
        <w:t xml:space="preserve"> фермерського господарства). У разі якщо земельна ділянка державної власності розташована за межами населених пунктів і не входить до складу певного району, заява подається до Ради міністрів Автономної Республіки Крим. Верховній Раді Автономної Республіки </w:t>
      </w:r>
      <w:r>
        <w:t>Крим, Раді міністрів Автономної Республіки Крим, органам виконавчої влади або органам місцевого самоврядування, які передають земельні ділянки державної чи комунальної власності у власність відповідно до повноважень, визначених статтею 122 цього Кодексу, з</w:t>
      </w:r>
      <w:r>
        <w:t>абороняється вимагати додаткові матеріали та документи, не передбачені цією статтею.</w:t>
      </w:r>
    </w:p>
    <w:p w:rsidR="00FC05AF" w:rsidRDefault="000145B6">
      <w:pPr>
        <w:pStyle w:val="1"/>
        <w:ind w:firstLine="420"/>
        <w:jc w:val="both"/>
      </w:pPr>
      <w:r>
        <w:t>Відповідно до пункту 7 статті 118 Земельного кодексу України відповідний орган виконавчої влади або орган місцевого самоврядування, який передає земельні ділянки державної</w:t>
      </w:r>
      <w:r>
        <w:t xml:space="preserve"> чи комунальної власності у власність відповідно до повноважень, визначених статтею 122 цього Кодексу, розглядає клопотання у місячний строк і дає дозвіл на розроблення проекту землеустрою щодо відведення земельної ділянки або надає мотивовану відмову у йо</w:t>
      </w:r>
      <w:r>
        <w:t>го наданні. Підставою відмови у наданні такого дозволу може бути лише невідповідність місця розташування об'єкта вимогам законів, прийнятих відповідно до них нормативно-правових актів, Генеральних планів населених пунктів та іншої містобудівної документаці</w:t>
      </w:r>
      <w:r>
        <w:t>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територій населених пунктів, затверджених у встановленому законом порядку.</w:t>
      </w:r>
      <w:r>
        <w:br w:type="page"/>
      </w:r>
    </w:p>
    <w:p w:rsidR="00FC05AF" w:rsidRDefault="000145B6">
      <w:pPr>
        <w:pStyle w:val="1"/>
        <w:jc w:val="both"/>
      </w:pPr>
      <w:r>
        <w:lastRenderedPageBreak/>
        <w:t>Проект землеус</w:t>
      </w:r>
      <w:r>
        <w:t>трою щодо відведення земельної ділянки розробляється за замовленням громадян суб'єктами господарювання, що є виконавцями робіт із землеустрою згідно із законом, у строки, що обумовлюються угодою сторін.</w:t>
      </w:r>
    </w:p>
    <w:p w:rsidR="00FC05AF" w:rsidRDefault="000145B6">
      <w:pPr>
        <w:pStyle w:val="1"/>
        <w:jc w:val="both"/>
      </w:pPr>
      <w:r>
        <w:t>У разі якщо у місячний строк з дня реєстрації клопота</w:t>
      </w:r>
      <w:r>
        <w:t>ння Верховна Рада Автономної Республіки Крим, Рада міністрів Автономної Республіки Крим, відповідний орган виконавчої влади або орган місцевого самоврядування, який передає земельні ділянки державної чи комунальної власності у власність відповідно до повно</w:t>
      </w:r>
      <w:r>
        <w:t xml:space="preserve">важень, визначених статтею 122 цього Кодексу, не надав дозволу на розроблення проекту землеустрою щодо відведення земельної ділянки або мотивовану відмову у його наданні, то особа, зацікавлена в одержанні безоплатно у власність земельної ділянки із земель </w:t>
      </w:r>
      <w:r>
        <w:t>державної або комунальної власності, у місячний строк з дня закінчення зазначеного строку має право замовити розроблення проекту землеустрою щодо відведення земельної ділянки без надання такого дозволу, про що письмово повідомляє Верховну Раду Автономної Р</w:t>
      </w:r>
      <w:r>
        <w:t xml:space="preserve">еспубліки Крим, Раду міністрів Автономної Республіки Крим, відповідний орган виконавчої влади або орган місцевого самоврядування. До письмового повідомлення додається </w:t>
      </w:r>
      <w:r w:rsidR="006F7F7D">
        <w:t>договір</w:t>
      </w:r>
      <w:r>
        <w:t xml:space="preserve"> на виконання робіт із землеустрою щодо відведення земельної ділянки.</w:t>
      </w:r>
    </w:p>
    <w:p w:rsidR="00FC05AF" w:rsidRDefault="000145B6">
      <w:pPr>
        <w:pStyle w:val="1"/>
        <w:jc w:val="both"/>
      </w:pPr>
      <w:r>
        <w:rPr>
          <w:b/>
          <w:bCs/>
        </w:rPr>
        <w:t>Проведеною п</w:t>
      </w:r>
      <w:r>
        <w:rPr>
          <w:b/>
          <w:bCs/>
        </w:rPr>
        <w:t xml:space="preserve">еревіркою 177 рішень </w:t>
      </w:r>
      <w:r>
        <w:t>«Про відмову у надані дозволу щодо розроблення проекту землеустрою» Великосеверинівської сільської ради Кропивницького району Кіровоградської області.</w:t>
      </w:r>
    </w:p>
    <w:p w:rsidR="00FC05AF" w:rsidRDefault="000145B6">
      <w:pPr>
        <w:pStyle w:val="1"/>
        <w:jc w:val="both"/>
      </w:pPr>
      <w:r>
        <w:t>Керуючись статтею 6 Закону України «Про державний контроль за використанням та охоро</w:t>
      </w:r>
      <w:r>
        <w:t>ною земель», при перевірці 177 рішень «Про відмову у надані дозволу щодо розроблення проекту землеустрою» Великосеверинівської сільської ради Кропивницького району Кіровоградської області, порушень вимог земельного законодавства України не виявлено.</w:t>
      </w:r>
    </w:p>
    <w:p w:rsidR="00A50A33" w:rsidRDefault="00A50A33" w:rsidP="00A50A33">
      <w:pPr>
        <w:pStyle w:val="1"/>
        <w:jc w:val="both"/>
      </w:pPr>
      <w:r>
        <w:t>Зг</w:t>
      </w:r>
      <w:r w:rsidR="000145B6">
        <w:t>ідно</w:t>
      </w:r>
      <w:r w:rsidR="000145B6">
        <w:t xml:space="preserve"> п.5 ст.158 Земельного Кодексу України у разі незгоди власників землі або землекористувачів з рішенням органів місцевого самоврядування, центрального органу виконавчої влади, що реалізує державну політику у сфері земельних відносин, спір вирішується </w:t>
      </w:r>
      <w:r>
        <w:t>судом.</w:t>
      </w:r>
    </w:p>
    <w:p w:rsidR="00A50A33" w:rsidRDefault="00A50A33">
      <w:pPr>
        <w:pStyle w:val="1"/>
        <w:jc w:val="both"/>
      </w:pPr>
    </w:p>
    <w:p w:rsidR="00A50A33" w:rsidRDefault="00A50A33">
      <w:pPr>
        <w:pStyle w:val="1"/>
        <w:jc w:val="both"/>
      </w:pPr>
    </w:p>
    <w:p w:rsidR="00A50A33" w:rsidRDefault="00A50A33">
      <w:pPr>
        <w:pStyle w:val="1"/>
        <w:jc w:val="both"/>
      </w:pPr>
    </w:p>
    <w:p w:rsidR="00A50A33" w:rsidRDefault="00A50A33">
      <w:pPr>
        <w:pStyle w:val="1"/>
        <w:jc w:val="both"/>
      </w:pPr>
    </w:p>
    <w:p w:rsidR="00FC05AF" w:rsidRDefault="00FC05AF">
      <w:pPr>
        <w:spacing w:line="1" w:lineRule="exact"/>
        <w:sectPr w:rsidR="00FC05AF">
          <w:footerReference w:type="even" r:id="rId8"/>
          <w:footerReference w:type="default" r:id="rId9"/>
          <w:pgSz w:w="11900" w:h="16840"/>
          <w:pgMar w:top="591" w:right="392" w:bottom="1068" w:left="1547" w:header="0" w:footer="3" w:gutter="0"/>
          <w:pgNumType w:start="1"/>
          <w:cols w:space="720"/>
          <w:noEndnote/>
          <w:docGrid w:linePitch="360"/>
        </w:sectPr>
      </w:pPr>
      <w:r w:rsidRPr="00FC05A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72.35pt;margin-top:22pt;width:240.25pt;height:134.4pt;z-index:-125829375;mso-wrap-distance-left:0;mso-wrap-distance-top:22pt;mso-wrap-distance-right:0;mso-wrap-distance-bottom:110.15pt;mso-position-horizontal-relative:page" filled="f" stroked="f">
            <v:textbox style="mso-next-textbox:#_x0000_s2060" inset="0,0,0,0">
              <w:txbxContent>
                <w:p w:rsidR="00FC05AF" w:rsidRDefault="000145B6">
                  <w:pPr>
                    <w:pStyle w:val="1"/>
                    <w:tabs>
                      <w:tab w:val="left" w:leader="underscore" w:pos="4450"/>
                    </w:tabs>
                    <w:ind w:left="240" w:firstLine="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Державний інспектор у сфері державного контролю за використанням та охороною земель і дотриманням вимог законодавства України про охор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ону земель, головний спеціаліст відділу контролю за використанням та охороною земель у </w:t>
                  </w:r>
                  <w:r w:rsidR="006F7F7D">
                    <w:rPr>
                      <w:b/>
                      <w:bCs/>
                      <w:sz w:val="22"/>
                      <w:szCs w:val="22"/>
                    </w:rPr>
                    <w:t>К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ропивницькому, Олександрівському, Знам’янському районах та </w:t>
                  </w: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м. Кропивницькому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</w:r>
                </w:p>
                <w:p w:rsidR="00FC05AF" w:rsidRDefault="000145B6">
                  <w:pPr>
                    <w:pStyle w:val="1"/>
                    <w:spacing w:line="228" w:lineRule="auto"/>
                    <w:ind w:firstLine="0"/>
                  </w:pPr>
                  <w:r>
                    <w:rPr>
                      <w:b/>
                      <w:bCs/>
                    </w:rPr>
                    <w:t>Акт перевірки отримав(ла) особисто:</w:t>
                  </w:r>
                </w:p>
              </w:txbxContent>
            </v:textbox>
            <w10:wrap type="topAndBottom" anchorx="page"/>
          </v:shape>
        </w:pict>
      </w:r>
      <w:r w:rsidR="000145B6">
        <w:rPr>
          <w:noProof/>
          <w:lang w:val="ru-RU" w:eastAsia="ru-RU" w:bidi="ar-SA"/>
        </w:rPr>
        <w:drawing>
          <wp:anchor distT="1251585" distB="1417320" distL="323215" distR="0" simplePos="0" relativeHeight="125829380" behindDoc="0" locked="0" layoutInCell="1" allowOverlap="1">
            <wp:simplePos x="0" y="0"/>
            <wp:positionH relativeFrom="page">
              <wp:posOffset>4073525</wp:posOffset>
            </wp:positionH>
            <wp:positionV relativeFrom="paragraph">
              <wp:posOffset>1251585</wp:posOffset>
            </wp:positionV>
            <wp:extent cx="652145" cy="719455"/>
            <wp:effectExtent l="0" t="0" r="0" b="0"/>
            <wp:wrapTopAndBottom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65214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5AF">
        <w:pict>
          <v:shape id="_x0000_s2059" type="#_x0000_t202" style="position:absolute;margin-left:295.3pt;margin-top:139.6pt;width:30.25pt;height:13.7pt;z-index:251657729;mso-wrap-distance-left:0;mso-wrap-distance-right:0;mso-position-horizontal-relative:page;mso-position-vertical-relative:text" filled="f" stroked="f">
            <v:textbox style="mso-next-textbox:#_x0000_s2059" inset="0,0,0,0">
              <w:txbxContent>
                <w:p w:rsidR="00FC05AF" w:rsidRPr="006F7F7D" w:rsidRDefault="00FC05AF" w:rsidP="006F7F7D">
                  <w:pPr>
                    <w:rPr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Pr="00FC05AF">
        <w:pict>
          <v:shape id="_x0000_s2058" type="#_x0000_t202" style="position:absolute;margin-left:344.05pt;margin-top:126.15pt;width:204.7pt;height:27.85pt;z-index:-125829372;mso-wrap-distance-left:0;mso-wrap-distance-top:126.15pt;mso-wrap-distance-right:0;mso-wrap-distance-bottom:112.55pt;mso-position-horizontal-relative:page;mso-position-vertical-relative:text" filled="f" stroked="f">
            <v:textbox style="mso-next-textbox:#_x0000_s2058" inset="0,0,0,0">
              <w:txbxContent>
                <w:p w:rsidR="00FC05AF" w:rsidRDefault="000145B6">
                  <w:pPr>
                    <w:pStyle w:val="1"/>
                    <w:spacing w:line="254" w:lineRule="auto"/>
                    <w:ind w:firstLine="1480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Ярослава КИРИЧЕНК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О </w:t>
                  </w:r>
                  <w:r>
                    <w:rPr>
                      <w:sz w:val="22"/>
                      <w:szCs w:val="22"/>
                    </w:rPr>
                    <w:t>ірки надіслано поштою:</w:t>
                  </w:r>
                </w:p>
              </w:txbxContent>
            </v:textbox>
            <w10:wrap type="topAndBottom" anchorx="page"/>
          </v:shape>
        </w:pict>
      </w:r>
      <w:r w:rsidR="000145B6">
        <w:rPr>
          <w:noProof/>
          <w:lang w:val="ru-RU" w:eastAsia="ru-RU" w:bidi="ar-SA"/>
        </w:rPr>
        <w:drawing>
          <wp:anchor distT="1979930" distB="0" distL="0" distR="267970" simplePos="0" relativeHeight="125829383" behindDoc="0" locked="0" layoutInCell="1" allowOverlap="1">
            <wp:simplePos x="0" y="0"/>
            <wp:positionH relativeFrom="page">
              <wp:posOffset>925195</wp:posOffset>
            </wp:positionH>
            <wp:positionV relativeFrom="paragraph">
              <wp:posOffset>1979930</wp:posOffset>
            </wp:positionV>
            <wp:extent cx="2005330" cy="1408430"/>
            <wp:effectExtent l="0" t="0" r="0" b="0"/>
            <wp:wrapTopAndBottom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box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00533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C05AF">
        <w:pict>
          <v:shape id="_x0000_s2057" type="#_x0000_t202" style="position:absolute;margin-left:229.1pt;margin-top:203.65pt;width:22.55pt;height:11.75pt;z-index:251657731;mso-wrap-distance-left:0;mso-wrap-distance-right:0;mso-position-horizontal-relative:page;mso-position-vertical-relative:text" filled="f" stroked="f">
            <v:textbox style="mso-next-textbox:#_x0000_s2057" inset="0,0,0,0">
              <w:txbxContent>
                <w:p w:rsidR="00FC05AF" w:rsidRDefault="000145B6">
                  <w:pPr>
                    <w:pStyle w:val="a5"/>
                    <w:rPr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кові)</w:t>
                  </w:r>
                </w:p>
              </w:txbxContent>
            </v:textbox>
            <w10:wrap anchorx="page"/>
          </v:shape>
        </w:pict>
      </w:r>
      <w:r w:rsidRPr="00FC05AF">
        <w:pict>
          <v:shape id="_x0000_s2056" type="#_x0000_t202" style="position:absolute;margin-left:145.1pt;margin-top:252.6pt;width:29.05pt;height:10.55pt;z-index:251657733;mso-wrap-distance-left:0;mso-wrap-distance-right:0;mso-position-horizontal-relative:page;mso-position-vertical-relative:text" filled="f" stroked="f">
            <v:textbox style="mso-next-textbox:#_x0000_s2056" inset="0,0,0,0">
              <w:txbxContent>
                <w:p w:rsidR="00FC05AF" w:rsidRDefault="000145B6">
                  <w:pPr>
                    <w:pStyle w:val="a5"/>
                  </w:pPr>
                  <w:r>
                    <w:t>^країна</w:t>
                  </w:r>
                </w:p>
              </w:txbxContent>
            </v:textbox>
            <w10:wrap anchorx="page"/>
          </v:shape>
        </w:pict>
      </w:r>
      <w:r w:rsidRPr="00FC05AF">
        <w:pict>
          <v:shape id="_x0000_s2055" type="#_x0000_t202" style="position:absolute;margin-left:210.35pt;margin-top:167.45pt;width:51.35pt;height:14.15pt;z-index:-125829369;mso-wrap-distance-left:0;mso-wrap-distance-top:167.45pt;mso-wrap-distance-right:0;mso-wrap-distance-bottom:84.95pt;mso-position-horizontal-relative:page;mso-position-vertical-relative:text" filled="f" stroked="f">
            <v:textbox style="mso-next-textbox:#_x0000_s2055" inset="0,0,0,0">
              <w:txbxContent>
                <w:p w:rsidR="00FC05AF" w:rsidRDefault="000145B6">
                  <w:pPr>
                    <w:pStyle w:val="1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 року</w:t>
                  </w:r>
                </w:p>
              </w:txbxContent>
            </v:textbox>
            <w10:wrap type="topAndBottom" anchorx="page"/>
          </v:shape>
        </w:pict>
      </w:r>
      <w:r w:rsidRPr="00FC05AF">
        <w:pict>
          <v:shape id="_x0000_s2054" type="#_x0000_t202" style="position:absolute;margin-left:438.35pt;margin-top:163.1pt;width:51.35pt;height:14.15pt;z-index:-125829367;mso-wrap-distance-left:0;mso-wrap-distance-top:163.1pt;mso-wrap-distance-right:0;mso-wrap-distance-bottom:89.3pt;mso-position-horizontal-relative:page;mso-position-vertical-relative:text" filled="f" stroked="f">
            <v:textbox style="mso-next-textbox:#_x0000_s2054" inset="0,0,0,0">
              <w:txbxContent>
                <w:p w:rsidR="00FC05AF" w:rsidRDefault="000145B6">
                  <w:pPr>
                    <w:pStyle w:val="1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 року</w:t>
                  </w:r>
                </w:p>
              </w:txbxContent>
            </v:textbox>
            <w10:wrap type="topAndBottom" anchorx="page"/>
          </v:shape>
        </w:pict>
      </w:r>
      <w:r w:rsidRPr="00FC05AF">
        <w:pict>
          <v:shape id="_x0000_s2053" type="#_x0000_t202" style="position:absolute;margin-left:295.3pt;margin-top:184.25pt;width:65.75pt;height:13.7pt;z-index:-125829365;mso-wrap-distance-left:0;mso-wrap-distance-top:184.25pt;mso-wrap-distance-right:0;mso-wrap-distance-bottom:68.6pt;mso-position-horizontal-relative:page;mso-position-vertical-relative:text" filled="f" stroked="f">
            <v:textbox style="mso-next-textbox:#_x0000_s2053" inset="0,0,0,0">
              <w:txbxContent>
                <w:p w:rsidR="00FC05AF" w:rsidRDefault="000145B6">
                  <w:pPr>
                    <w:pStyle w:val="1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Квитанція №</w:t>
                  </w:r>
                </w:p>
              </w:txbxContent>
            </v:textbox>
            <w10:wrap type="topAndBottom" anchorx="page"/>
          </v:shape>
        </w:pict>
      </w:r>
      <w:r w:rsidRPr="00FC05AF">
        <w:pict>
          <v:shape id="_x0000_s2052" type="#_x0000_t202" style="position:absolute;margin-left:421.3pt;margin-top:184.5pt;width:17.05pt;height:13.7pt;z-index:-125829363;mso-wrap-distance-left:0;mso-wrap-distance-top:184.5pt;mso-wrap-distance-right:0;mso-wrap-distance-bottom:68.35pt;mso-position-horizontal-relative:page;mso-position-vertical-relative:text" filled="f" stroked="f">
            <v:textbox style="mso-next-textbox:#_x0000_s2052" inset="0,0,0,0">
              <w:txbxContent>
                <w:p w:rsidR="00FC05AF" w:rsidRDefault="000145B6">
                  <w:pPr>
                    <w:pStyle w:val="1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від</w:t>
                  </w:r>
                </w:p>
              </w:txbxContent>
            </v:textbox>
            <w10:wrap type="topAndBottom" anchorx="page"/>
          </v:shape>
        </w:pict>
      </w:r>
      <w:r w:rsidRPr="00FC05AF">
        <w:pict>
          <v:shape id="_x0000_s2051" type="#_x0000_t202" style="position:absolute;margin-left:349.8pt;margin-top:216.65pt;width:148.3pt;height:11.75pt;z-index:-125829361;mso-wrap-distance-left:0;mso-wrap-distance-top:216.65pt;mso-wrap-distance-right:0;mso-wrap-distance-bottom:38.15pt;mso-position-horizontal-relative:page;mso-position-vertical-relative:text" filled="f" stroked="f">
            <v:textbox style="mso-next-textbox:#_x0000_s2051" inset="0,0,0,0">
              <w:txbxContent>
                <w:p w:rsidR="00FC05AF" w:rsidRDefault="000145B6">
                  <w:pPr>
                    <w:pStyle w:val="30"/>
                  </w:pPr>
                  <w:r>
                    <w:t>(посада, прізвище та ініціали особи,</w:t>
                  </w:r>
                </w:p>
              </w:txbxContent>
            </v:textbox>
            <w10:wrap type="topAndBottom" anchorx="page"/>
          </v:shape>
        </w:pict>
      </w:r>
      <w:r w:rsidRPr="00FC05AF">
        <w:pict>
          <v:shape id="_x0000_s2050" type="#_x0000_t202" style="position:absolute;margin-left:375.25pt;margin-top:246.9pt;width:97.9pt;height:12pt;z-index:-125829359;mso-wrap-distance-left:0;mso-wrap-distance-top:246.9pt;mso-wrap-distance-right:0;mso-wrap-distance-bottom:7.65pt;mso-position-horizontal-relative:page;mso-position-vertical-relative:text" filled="f" stroked="f">
            <v:textbox style="mso-next-textbox:#_x0000_s2050" inset="0,0,0,0">
              <w:txbxContent>
                <w:p w:rsidR="00FC05AF" w:rsidRDefault="000145B6">
                  <w:pPr>
                    <w:pStyle w:val="30"/>
                  </w:pPr>
                  <w:r>
                    <w:t>яка відправила припис)</w:t>
                  </w:r>
                </w:p>
              </w:txbxContent>
            </v:textbox>
            <w10:wrap type="topAndBottom" anchorx="page"/>
          </v:shape>
        </w:pict>
      </w:r>
    </w:p>
    <w:p w:rsidR="00FC05AF" w:rsidRDefault="00FC05AF">
      <w:pPr>
        <w:spacing w:line="135" w:lineRule="exact"/>
        <w:rPr>
          <w:sz w:val="11"/>
          <w:szCs w:val="11"/>
        </w:rPr>
      </w:pPr>
    </w:p>
    <w:p w:rsidR="00FC05AF" w:rsidRDefault="00FC05AF">
      <w:pPr>
        <w:spacing w:line="1" w:lineRule="exact"/>
        <w:sectPr w:rsidR="00FC05AF">
          <w:type w:val="continuous"/>
          <w:pgSz w:w="11900" w:h="16840"/>
          <w:pgMar w:top="1004" w:right="0" w:bottom="1004" w:left="0" w:header="0" w:footer="3" w:gutter="0"/>
          <w:cols w:space="720"/>
          <w:noEndnote/>
          <w:docGrid w:linePitch="360"/>
        </w:sectPr>
      </w:pPr>
    </w:p>
    <w:p w:rsidR="00FC05AF" w:rsidRDefault="000145B6">
      <w:pPr>
        <w:pStyle w:val="30"/>
        <w:pBdr>
          <w:top w:val="single" w:sz="4" w:space="0" w:color="auto"/>
        </w:pBdr>
        <w:jc w:val="center"/>
      </w:pPr>
      <w:r>
        <w:lastRenderedPageBreak/>
        <w:t>(підпис)</w:t>
      </w:r>
    </w:p>
    <w:p w:rsidR="00A50A33" w:rsidRDefault="00A50A33">
      <w:pPr>
        <w:pStyle w:val="30"/>
        <w:pBdr>
          <w:top w:val="single" w:sz="4" w:space="0" w:color="auto"/>
        </w:pBdr>
        <w:jc w:val="center"/>
      </w:pPr>
    </w:p>
    <w:sectPr w:rsidR="00A50A33" w:rsidSect="00FC05AF">
      <w:type w:val="continuous"/>
      <w:pgSz w:w="11900" w:h="16840"/>
      <w:pgMar w:top="1004" w:right="515" w:bottom="1004" w:left="14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B6" w:rsidRDefault="000145B6" w:rsidP="00FC05AF">
      <w:r>
        <w:separator/>
      </w:r>
    </w:p>
  </w:endnote>
  <w:endnote w:type="continuationSeparator" w:id="1">
    <w:p w:rsidR="000145B6" w:rsidRDefault="000145B6" w:rsidP="00FC0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AF" w:rsidRDefault="00FC05AF">
    <w:pPr>
      <w:spacing w:line="1" w:lineRule="exact"/>
    </w:pPr>
    <w:r w:rsidRPr="00FC05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58.25pt;margin-top:793.6pt;width:414pt;height:6pt;z-index:-251658752;mso-wrap-distance-left:0;mso-wrap-distance-right:0;mso-position-horizontal-relative:page;mso-position-vertical-relative:page" wrapcoords="0 0" filled="f" stroked="f">
          <v:textbox style="mso-next-textbox:#_x0000_s1028;mso-fit-shape-to-text:t" inset="0,0,0,0">
            <w:txbxContent>
              <w:p w:rsidR="00FC05AF" w:rsidRDefault="000145B6">
                <w:pPr>
                  <w:pStyle w:val="22"/>
                  <w:tabs>
                    <w:tab w:val="right" w:pos="7574"/>
                    <w:tab w:val="right" w:pos="8280"/>
                  </w:tabs>
                  <w:rPr>
                    <w:sz w:val="8"/>
                    <w:szCs w:val="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z w:val="8"/>
                    <w:szCs w:val="8"/>
                  </w:rPr>
                  <w:t>&gt; . і 1&gt; і</w:t>
                </w:r>
                <w:r>
                  <w:rPr>
                    <w:rFonts w:ascii="Arial" w:eastAsia="Arial" w:hAnsi="Arial" w:cs="Arial"/>
                    <w:b/>
                    <w:bCs/>
                    <w:sz w:val="8"/>
                    <w:szCs w:val="8"/>
                  </w:rPr>
                  <w:tab/>
                  <w:t>.</w:t>
                </w:r>
                <w:r>
                  <w:rPr>
                    <w:rFonts w:ascii="Arial" w:eastAsia="Arial" w:hAnsi="Arial" w:cs="Arial"/>
                    <w:b/>
                    <w:bCs/>
                    <w:sz w:val="8"/>
                    <w:szCs w:val="8"/>
                  </w:rPr>
                  <w:tab/>
                  <w:t>111'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5AF" w:rsidRDefault="00FC05AF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B6" w:rsidRDefault="000145B6"/>
  </w:footnote>
  <w:footnote w:type="continuationSeparator" w:id="1">
    <w:p w:rsidR="000145B6" w:rsidRDefault="000145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F3270"/>
    <w:multiLevelType w:val="multilevel"/>
    <w:tmpl w:val="61684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C05AF"/>
    <w:rsid w:val="000145B6"/>
    <w:rsid w:val="006F7F7D"/>
    <w:rsid w:val="00A50A33"/>
    <w:rsid w:val="00BE7901"/>
    <w:rsid w:val="00FC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05A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C0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FC05AF"/>
    <w:rPr>
      <w:rFonts w:ascii="Arial" w:eastAsia="Arial" w:hAnsi="Arial" w:cs="Arial"/>
      <w:b w:val="0"/>
      <w:bCs w:val="0"/>
      <w:i w:val="0"/>
      <w:iCs w:val="0"/>
      <w:smallCaps w:val="0"/>
      <w:strike w:val="0"/>
      <w:color w:val="9EBDE5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C0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C0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sid w:val="00FC05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C05AF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FC05AF"/>
    <w:rPr>
      <w:rFonts w:ascii="Arial" w:eastAsia="Arial" w:hAnsi="Arial" w:cs="Arial"/>
      <w:color w:val="9EBDE5"/>
      <w:sz w:val="14"/>
      <w:szCs w:val="14"/>
    </w:rPr>
  </w:style>
  <w:style w:type="paragraph" w:customStyle="1" w:styleId="30">
    <w:name w:val="Основной текст (3)"/>
    <w:basedOn w:val="a"/>
    <w:link w:val="3"/>
    <w:rsid w:val="00FC05AF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FC05AF"/>
    <w:pPr>
      <w:spacing w:after="680" w:line="228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Колонтитул (2)"/>
    <w:basedOn w:val="a"/>
    <w:link w:val="21"/>
    <w:rsid w:val="00FC05A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F7F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F7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3</cp:revision>
  <dcterms:created xsi:type="dcterms:W3CDTF">2021-04-27T06:46:00Z</dcterms:created>
  <dcterms:modified xsi:type="dcterms:W3CDTF">2021-04-27T07:09:00Z</dcterms:modified>
</cp:coreProperties>
</file>