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F9" w:rsidRPr="00C27CF9" w:rsidRDefault="00C27CF9" w:rsidP="00C27CF9">
      <w:pPr>
        <w:spacing w:after="0" w:line="240" w:lineRule="auto"/>
        <w:ind w:left="5387"/>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eastAsia="uk-UA" w:bidi="uk-UA"/>
        </w:rPr>
        <w:t>Додаток 1</w:t>
      </w:r>
    </w:p>
    <w:p w:rsidR="00C27CF9" w:rsidRPr="00C27CF9" w:rsidRDefault="00C27CF9" w:rsidP="00C27CF9">
      <w:pPr>
        <w:tabs>
          <w:tab w:val="left" w:leader="underscore" w:pos="7922"/>
        </w:tabs>
        <w:spacing w:after="0" w:line="240" w:lineRule="auto"/>
        <w:ind w:left="5387"/>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eastAsia="uk-UA" w:bidi="uk-UA"/>
        </w:rPr>
        <w:t>до рішення виконавчого комітету</w:t>
      </w:r>
    </w:p>
    <w:p w:rsidR="00C27CF9" w:rsidRPr="00C27CF9" w:rsidRDefault="00C27CF9" w:rsidP="00C27CF9">
      <w:pPr>
        <w:tabs>
          <w:tab w:val="left" w:leader="underscore" w:pos="6713"/>
          <w:tab w:val="left" w:leader="underscore" w:pos="8393"/>
        </w:tabs>
        <w:spacing w:after="562" w:line="240" w:lineRule="auto"/>
        <w:ind w:left="5387"/>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eastAsia="uk-UA" w:bidi="uk-UA"/>
        </w:rPr>
        <w:t>Великосеверинівської сільської ради від 29 квітня 2021 року № 53</w:t>
      </w:r>
    </w:p>
    <w:p w:rsidR="00C27CF9" w:rsidRPr="00C27CF9" w:rsidRDefault="00C27CF9" w:rsidP="00C27CF9">
      <w:pPr>
        <w:tabs>
          <w:tab w:val="left" w:pos="7106"/>
        </w:tabs>
        <w:spacing w:after="0" w:line="240" w:lineRule="auto"/>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Склад</w:t>
      </w:r>
    </w:p>
    <w:p w:rsidR="00C27CF9" w:rsidRPr="00C27CF9" w:rsidRDefault="00C27CF9" w:rsidP="00C27CF9">
      <w:pPr>
        <w:tabs>
          <w:tab w:val="left" w:pos="7106"/>
        </w:tabs>
        <w:spacing w:after="0" w:line="240" w:lineRule="auto"/>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конкурсної комісії з визначення виконавця послуг з вивезення побутових відходів на території Великосеверинівської сільської ради</w:t>
      </w:r>
    </w:p>
    <w:p w:rsidR="00C27CF9" w:rsidRPr="00C27CF9" w:rsidRDefault="00C27CF9" w:rsidP="00C27CF9">
      <w:pPr>
        <w:tabs>
          <w:tab w:val="left" w:pos="7106"/>
        </w:tabs>
        <w:spacing w:after="0" w:line="240" w:lineRule="auto"/>
        <w:jc w:val="center"/>
        <w:rPr>
          <w:rFonts w:ascii="Times New Roman" w:eastAsia="Times New Roman" w:hAnsi="Times New Roman" w:cs="Times New Roman"/>
          <w:b/>
          <w:sz w:val="28"/>
          <w:szCs w:val="28"/>
          <w:lang w:val="uk-UA" w:bidi="en-US"/>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3"/>
        <w:gridCol w:w="6218"/>
      </w:tblGrid>
      <w:tr w:rsidR="00C27CF9" w:rsidRPr="00C27CF9" w:rsidTr="00144E96">
        <w:tc>
          <w:tcPr>
            <w:tcW w:w="9629" w:type="dxa"/>
            <w:gridSpan w:val="2"/>
          </w:tcPr>
          <w:p w:rsidR="00C27CF9" w:rsidRPr="00C27CF9" w:rsidRDefault="00C27CF9" w:rsidP="00144E96">
            <w:pPr>
              <w:tabs>
                <w:tab w:val="left" w:pos="7106"/>
              </w:tabs>
              <w:rPr>
                <w:rFonts w:ascii="Times New Roman" w:hAnsi="Times New Roman"/>
                <w:b/>
                <w:sz w:val="28"/>
                <w:szCs w:val="28"/>
                <w:lang w:val="uk-UA"/>
              </w:rPr>
            </w:pPr>
            <w:r w:rsidRPr="00C27CF9">
              <w:rPr>
                <w:rFonts w:ascii="Times New Roman" w:hAnsi="Times New Roman"/>
                <w:b/>
                <w:sz w:val="28"/>
                <w:szCs w:val="28"/>
                <w:lang w:val="uk-UA"/>
              </w:rPr>
              <w:t>Голова комісії</w:t>
            </w:r>
          </w:p>
          <w:p w:rsidR="00C27CF9" w:rsidRPr="00C27CF9" w:rsidRDefault="00C27CF9" w:rsidP="00144E96">
            <w:pPr>
              <w:tabs>
                <w:tab w:val="left" w:pos="7106"/>
              </w:tabs>
              <w:rPr>
                <w:rFonts w:ascii="Times New Roman" w:hAnsi="Times New Roman"/>
                <w:b/>
                <w:sz w:val="28"/>
                <w:szCs w:val="28"/>
                <w:lang w:val="uk-UA"/>
              </w:rPr>
            </w:pPr>
          </w:p>
        </w:tc>
      </w:tr>
      <w:tr w:rsidR="00C27CF9" w:rsidRPr="00C27CF9" w:rsidTr="00144E96">
        <w:tc>
          <w:tcPr>
            <w:tcW w:w="3369" w:type="dxa"/>
          </w:tcPr>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ЛЕВЧЕНКО</w:t>
            </w:r>
          </w:p>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Сергій Володимирович</w:t>
            </w:r>
          </w:p>
          <w:p w:rsidR="00C27CF9" w:rsidRPr="00C27CF9" w:rsidRDefault="00C27CF9" w:rsidP="00144E96">
            <w:pPr>
              <w:tabs>
                <w:tab w:val="left" w:pos="7106"/>
              </w:tabs>
              <w:jc w:val="both"/>
              <w:rPr>
                <w:rFonts w:ascii="Times New Roman" w:hAnsi="Times New Roman"/>
                <w:sz w:val="28"/>
                <w:szCs w:val="28"/>
                <w:lang w:val="uk-UA"/>
              </w:rPr>
            </w:pPr>
          </w:p>
        </w:tc>
        <w:tc>
          <w:tcPr>
            <w:tcW w:w="6260" w:type="dxa"/>
          </w:tcPr>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 xml:space="preserve">- Великосеверинівський сільський голова   </w:t>
            </w:r>
          </w:p>
          <w:p w:rsidR="00C27CF9" w:rsidRPr="00C27CF9" w:rsidRDefault="00C27CF9" w:rsidP="00144E96">
            <w:pPr>
              <w:tabs>
                <w:tab w:val="left" w:pos="7106"/>
              </w:tabs>
              <w:jc w:val="both"/>
              <w:rPr>
                <w:rFonts w:ascii="Times New Roman" w:hAnsi="Times New Roman"/>
                <w:sz w:val="28"/>
                <w:szCs w:val="28"/>
                <w:lang w:val="uk-UA"/>
              </w:rPr>
            </w:pPr>
          </w:p>
        </w:tc>
      </w:tr>
      <w:tr w:rsidR="00C27CF9" w:rsidRPr="00C27CF9" w:rsidTr="00144E96">
        <w:tc>
          <w:tcPr>
            <w:tcW w:w="9629" w:type="dxa"/>
            <w:gridSpan w:val="2"/>
          </w:tcPr>
          <w:p w:rsidR="00C27CF9" w:rsidRPr="00C27CF9" w:rsidRDefault="00C27CF9" w:rsidP="00144E96">
            <w:pPr>
              <w:tabs>
                <w:tab w:val="left" w:pos="7106"/>
              </w:tabs>
              <w:jc w:val="both"/>
              <w:rPr>
                <w:rFonts w:ascii="Times New Roman" w:hAnsi="Times New Roman"/>
                <w:b/>
                <w:sz w:val="28"/>
                <w:szCs w:val="28"/>
                <w:lang w:val="uk-UA"/>
              </w:rPr>
            </w:pPr>
            <w:r w:rsidRPr="00C27CF9">
              <w:rPr>
                <w:rFonts w:ascii="Times New Roman" w:hAnsi="Times New Roman"/>
                <w:b/>
                <w:sz w:val="28"/>
                <w:szCs w:val="28"/>
                <w:lang w:val="uk-UA"/>
              </w:rPr>
              <w:t>Секретар комісії</w:t>
            </w:r>
          </w:p>
        </w:tc>
      </w:tr>
      <w:tr w:rsidR="00C27CF9" w:rsidRPr="00C27CF9" w:rsidTr="00144E96">
        <w:tc>
          <w:tcPr>
            <w:tcW w:w="3369" w:type="dxa"/>
          </w:tcPr>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ПАЛІЙ</w:t>
            </w:r>
          </w:p>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Микола Володимирович</w:t>
            </w:r>
          </w:p>
        </w:tc>
        <w:tc>
          <w:tcPr>
            <w:tcW w:w="6260" w:type="dxa"/>
          </w:tcPr>
          <w:p w:rsidR="00C27CF9" w:rsidRPr="00C27CF9" w:rsidRDefault="00C27CF9" w:rsidP="00C27CF9">
            <w:pPr>
              <w:numPr>
                <w:ilvl w:val="0"/>
                <w:numId w:val="1"/>
              </w:numPr>
              <w:tabs>
                <w:tab w:val="left" w:pos="7106"/>
              </w:tabs>
              <w:spacing w:after="0" w:line="240" w:lineRule="auto"/>
              <w:ind w:left="175" w:hanging="142"/>
              <w:contextualSpacing/>
              <w:jc w:val="both"/>
              <w:rPr>
                <w:rFonts w:ascii="Times New Roman" w:hAnsi="Times New Roman"/>
                <w:sz w:val="28"/>
                <w:szCs w:val="28"/>
                <w:lang w:val="uk-UA"/>
              </w:rPr>
            </w:pPr>
            <w:r w:rsidRPr="00C27CF9">
              <w:rPr>
                <w:rFonts w:ascii="Times New Roman" w:hAnsi="Times New Roman"/>
                <w:sz w:val="28"/>
                <w:szCs w:val="28"/>
                <w:lang w:val="uk-UA"/>
              </w:rPr>
              <w:t xml:space="preserve">головний спеціаліст відділу земельних відносин, комунальної власності, житлово-комунального господарства, інфраструктури та економічного розвитку Великосеверинівської сільської ради </w:t>
            </w:r>
          </w:p>
          <w:p w:rsidR="00C27CF9" w:rsidRPr="00C27CF9" w:rsidRDefault="00C27CF9" w:rsidP="00144E96">
            <w:pPr>
              <w:tabs>
                <w:tab w:val="left" w:pos="7106"/>
              </w:tabs>
              <w:ind w:left="175"/>
              <w:contextualSpacing/>
              <w:jc w:val="both"/>
              <w:rPr>
                <w:rFonts w:ascii="Times New Roman" w:hAnsi="Times New Roman"/>
                <w:sz w:val="28"/>
                <w:szCs w:val="28"/>
                <w:lang w:val="uk-UA"/>
              </w:rPr>
            </w:pPr>
          </w:p>
        </w:tc>
      </w:tr>
      <w:tr w:rsidR="00C27CF9" w:rsidRPr="00C27CF9" w:rsidTr="00144E96">
        <w:tc>
          <w:tcPr>
            <w:tcW w:w="9629" w:type="dxa"/>
            <w:gridSpan w:val="2"/>
          </w:tcPr>
          <w:p w:rsidR="00C27CF9" w:rsidRPr="00C27CF9" w:rsidRDefault="00C27CF9" w:rsidP="00144E96">
            <w:pPr>
              <w:tabs>
                <w:tab w:val="left" w:pos="7106"/>
              </w:tabs>
              <w:jc w:val="both"/>
              <w:rPr>
                <w:rFonts w:ascii="Times New Roman" w:hAnsi="Times New Roman"/>
                <w:b/>
                <w:sz w:val="28"/>
                <w:szCs w:val="28"/>
                <w:lang w:val="uk-UA"/>
              </w:rPr>
            </w:pPr>
            <w:r w:rsidRPr="00C27CF9">
              <w:rPr>
                <w:rFonts w:ascii="Times New Roman" w:hAnsi="Times New Roman"/>
                <w:b/>
                <w:sz w:val="28"/>
                <w:szCs w:val="28"/>
                <w:lang w:val="uk-UA"/>
              </w:rPr>
              <w:t>Члени комісії</w:t>
            </w:r>
          </w:p>
          <w:p w:rsidR="00C27CF9" w:rsidRPr="00C27CF9" w:rsidRDefault="00C27CF9" w:rsidP="00144E96">
            <w:pPr>
              <w:tabs>
                <w:tab w:val="left" w:pos="7106"/>
              </w:tabs>
              <w:jc w:val="both"/>
              <w:rPr>
                <w:rFonts w:ascii="Times New Roman" w:hAnsi="Times New Roman"/>
                <w:b/>
                <w:sz w:val="28"/>
                <w:szCs w:val="28"/>
                <w:lang w:val="uk-UA"/>
              </w:rPr>
            </w:pPr>
          </w:p>
        </w:tc>
      </w:tr>
      <w:tr w:rsidR="00C27CF9" w:rsidRPr="00C27CF9" w:rsidTr="00144E96">
        <w:tc>
          <w:tcPr>
            <w:tcW w:w="3369" w:type="dxa"/>
          </w:tcPr>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БОДНАРЧУК</w:t>
            </w:r>
          </w:p>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Віталій Романович</w:t>
            </w:r>
          </w:p>
        </w:tc>
        <w:tc>
          <w:tcPr>
            <w:tcW w:w="6260" w:type="dxa"/>
          </w:tcPr>
          <w:p w:rsidR="00C27CF9" w:rsidRPr="00C27CF9" w:rsidRDefault="00C27CF9" w:rsidP="00C27CF9">
            <w:pPr>
              <w:numPr>
                <w:ilvl w:val="0"/>
                <w:numId w:val="1"/>
              </w:numPr>
              <w:tabs>
                <w:tab w:val="left" w:pos="7106"/>
              </w:tabs>
              <w:spacing w:after="0" w:line="240" w:lineRule="auto"/>
              <w:ind w:left="175" w:hanging="142"/>
              <w:contextualSpacing/>
              <w:jc w:val="both"/>
              <w:rPr>
                <w:rFonts w:ascii="Times New Roman" w:hAnsi="Times New Roman"/>
                <w:sz w:val="28"/>
                <w:szCs w:val="28"/>
                <w:lang w:val="uk-UA"/>
              </w:rPr>
            </w:pPr>
            <w:r w:rsidRPr="00C27CF9">
              <w:rPr>
                <w:rFonts w:ascii="Times New Roman" w:hAnsi="Times New Roman"/>
                <w:sz w:val="28"/>
                <w:szCs w:val="28"/>
                <w:lang w:val="uk-UA"/>
              </w:rPr>
              <w:t>фахівець з публічних закупівель</w:t>
            </w:r>
          </w:p>
          <w:p w:rsidR="00C27CF9" w:rsidRPr="00C27CF9" w:rsidRDefault="00C27CF9" w:rsidP="00144E96">
            <w:pPr>
              <w:tabs>
                <w:tab w:val="left" w:pos="7106"/>
              </w:tabs>
              <w:ind w:left="175"/>
              <w:contextualSpacing/>
              <w:jc w:val="both"/>
              <w:rPr>
                <w:rFonts w:ascii="Times New Roman" w:hAnsi="Times New Roman"/>
                <w:sz w:val="28"/>
                <w:szCs w:val="28"/>
                <w:lang w:val="uk-UA"/>
              </w:rPr>
            </w:pPr>
            <w:r w:rsidRPr="00C27CF9">
              <w:rPr>
                <w:rFonts w:ascii="Times New Roman" w:hAnsi="Times New Roman"/>
                <w:sz w:val="28"/>
                <w:szCs w:val="28"/>
                <w:lang w:val="uk-UA"/>
              </w:rPr>
              <w:t>Великосеверинівської сільської ради</w:t>
            </w:r>
          </w:p>
          <w:p w:rsidR="00C27CF9" w:rsidRPr="00C27CF9" w:rsidRDefault="00C27CF9" w:rsidP="00144E96">
            <w:pPr>
              <w:tabs>
                <w:tab w:val="left" w:pos="7106"/>
              </w:tabs>
              <w:ind w:left="175"/>
              <w:contextualSpacing/>
              <w:jc w:val="both"/>
              <w:rPr>
                <w:rFonts w:ascii="Times New Roman" w:hAnsi="Times New Roman"/>
                <w:sz w:val="28"/>
                <w:szCs w:val="28"/>
                <w:lang w:val="uk-UA"/>
              </w:rPr>
            </w:pPr>
          </w:p>
        </w:tc>
      </w:tr>
      <w:tr w:rsidR="00C27CF9" w:rsidRPr="00C27CF9" w:rsidTr="00144E96">
        <w:tc>
          <w:tcPr>
            <w:tcW w:w="3369" w:type="dxa"/>
          </w:tcPr>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КОРОБКО</w:t>
            </w:r>
          </w:p>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Інна Миколаївна</w:t>
            </w:r>
          </w:p>
          <w:p w:rsidR="00C27CF9" w:rsidRPr="00C27CF9" w:rsidRDefault="00C27CF9" w:rsidP="00144E96">
            <w:pPr>
              <w:tabs>
                <w:tab w:val="left" w:pos="7106"/>
              </w:tabs>
              <w:jc w:val="both"/>
              <w:rPr>
                <w:rFonts w:ascii="Times New Roman" w:hAnsi="Times New Roman"/>
                <w:sz w:val="28"/>
                <w:szCs w:val="28"/>
                <w:lang w:val="uk-UA"/>
              </w:rPr>
            </w:pPr>
          </w:p>
        </w:tc>
        <w:tc>
          <w:tcPr>
            <w:tcW w:w="6260" w:type="dxa"/>
          </w:tcPr>
          <w:p w:rsidR="00C27CF9" w:rsidRPr="00C27CF9" w:rsidRDefault="00C27CF9" w:rsidP="00C27CF9">
            <w:pPr>
              <w:numPr>
                <w:ilvl w:val="0"/>
                <w:numId w:val="1"/>
              </w:numPr>
              <w:tabs>
                <w:tab w:val="left" w:pos="7106"/>
              </w:tabs>
              <w:spacing w:after="0" w:line="240" w:lineRule="auto"/>
              <w:ind w:left="175" w:hanging="142"/>
              <w:contextualSpacing/>
              <w:jc w:val="both"/>
              <w:rPr>
                <w:rFonts w:ascii="Times New Roman" w:hAnsi="Times New Roman"/>
                <w:sz w:val="28"/>
                <w:szCs w:val="28"/>
                <w:lang w:val="uk-UA"/>
              </w:rPr>
            </w:pPr>
            <w:r w:rsidRPr="00C27CF9">
              <w:rPr>
                <w:rFonts w:ascii="Times New Roman" w:hAnsi="Times New Roman"/>
                <w:sz w:val="28"/>
                <w:szCs w:val="28"/>
                <w:lang w:val="uk-UA"/>
              </w:rPr>
              <w:t>начальник фінансового відділу</w:t>
            </w:r>
          </w:p>
        </w:tc>
      </w:tr>
      <w:tr w:rsidR="00C27CF9" w:rsidRPr="00C27CF9" w:rsidTr="00144E96">
        <w:tc>
          <w:tcPr>
            <w:tcW w:w="3369" w:type="dxa"/>
          </w:tcPr>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 xml:space="preserve">КОСАРЧУК </w:t>
            </w:r>
          </w:p>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Лідія Георгіївна</w:t>
            </w:r>
          </w:p>
        </w:tc>
        <w:tc>
          <w:tcPr>
            <w:tcW w:w="6260" w:type="dxa"/>
          </w:tcPr>
          <w:p w:rsidR="00C27CF9" w:rsidRPr="00C27CF9" w:rsidRDefault="00C27CF9" w:rsidP="00C27CF9">
            <w:pPr>
              <w:numPr>
                <w:ilvl w:val="0"/>
                <w:numId w:val="1"/>
              </w:numPr>
              <w:tabs>
                <w:tab w:val="left" w:pos="7106"/>
              </w:tabs>
              <w:spacing w:after="0" w:line="240" w:lineRule="auto"/>
              <w:ind w:left="175" w:hanging="142"/>
              <w:contextualSpacing/>
              <w:jc w:val="both"/>
              <w:rPr>
                <w:rFonts w:ascii="Times New Roman" w:hAnsi="Times New Roman"/>
                <w:sz w:val="28"/>
                <w:szCs w:val="28"/>
                <w:lang w:val="uk-UA"/>
              </w:rPr>
            </w:pPr>
            <w:r w:rsidRPr="00C27CF9">
              <w:rPr>
                <w:rFonts w:ascii="Times New Roman" w:hAnsi="Times New Roman"/>
                <w:sz w:val="28"/>
                <w:szCs w:val="28"/>
                <w:lang w:val="uk-UA"/>
              </w:rPr>
              <w:t xml:space="preserve">начальник відділу земельних відносин, комунальної власності, житлово-комунального господарства, інфраструктури та економічного розвитку Великосеверинівської сільської ради </w:t>
            </w:r>
          </w:p>
          <w:p w:rsidR="00C27CF9" w:rsidRPr="00C27CF9" w:rsidRDefault="00C27CF9" w:rsidP="00144E96">
            <w:pPr>
              <w:tabs>
                <w:tab w:val="left" w:pos="7106"/>
              </w:tabs>
              <w:ind w:left="175"/>
              <w:contextualSpacing/>
              <w:jc w:val="both"/>
              <w:rPr>
                <w:rFonts w:ascii="Times New Roman" w:hAnsi="Times New Roman"/>
                <w:sz w:val="28"/>
                <w:szCs w:val="28"/>
                <w:lang w:val="uk-UA"/>
              </w:rPr>
            </w:pPr>
          </w:p>
        </w:tc>
      </w:tr>
      <w:tr w:rsidR="00C27CF9" w:rsidRPr="00C27CF9" w:rsidTr="00144E96">
        <w:tc>
          <w:tcPr>
            <w:tcW w:w="3369" w:type="dxa"/>
          </w:tcPr>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lastRenderedPageBreak/>
              <w:t>КОХАН</w:t>
            </w:r>
          </w:p>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Наталія Віталіївна</w:t>
            </w:r>
          </w:p>
        </w:tc>
        <w:tc>
          <w:tcPr>
            <w:tcW w:w="6260" w:type="dxa"/>
          </w:tcPr>
          <w:p w:rsidR="00C27CF9" w:rsidRPr="00C27CF9" w:rsidRDefault="00C27CF9" w:rsidP="00144E96">
            <w:pPr>
              <w:tabs>
                <w:tab w:val="left" w:pos="7106"/>
              </w:tabs>
              <w:ind w:left="175" w:hanging="175"/>
              <w:jc w:val="both"/>
              <w:rPr>
                <w:rFonts w:ascii="Times New Roman" w:hAnsi="Times New Roman"/>
                <w:sz w:val="28"/>
                <w:szCs w:val="28"/>
                <w:lang w:val="uk-UA"/>
              </w:rPr>
            </w:pPr>
            <w:r w:rsidRPr="00C27CF9">
              <w:rPr>
                <w:rFonts w:ascii="Times New Roman" w:hAnsi="Times New Roman"/>
                <w:sz w:val="28"/>
                <w:szCs w:val="28"/>
                <w:lang w:val="uk-UA"/>
              </w:rPr>
              <w:t>- начальник відділу бухгалтерського обліку та звітності Великосеверинівської сільської ради</w:t>
            </w:r>
          </w:p>
          <w:p w:rsidR="00C27CF9" w:rsidRPr="00C27CF9" w:rsidRDefault="00C27CF9" w:rsidP="00144E96">
            <w:pPr>
              <w:tabs>
                <w:tab w:val="left" w:pos="7106"/>
              </w:tabs>
              <w:ind w:left="175" w:hanging="175"/>
              <w:jc w:val="both"/>
              <w:rPr>
                <w:rFonts w:ascii="Times New Roman" w:hAnsi="Times New Roman"/>
                <w:sz w:val="28"/>
                <w:szCs w:val="28"/>
                <w:lang w:val="uk-UA"/>
              </w:rPr>
            </w:pPr>
          </w:p>
        </w:tc>
      </w:tr>
      <w:tr w:rsidR="00C27CF9" w:rsidRPr="00C27CF9" w:rsidTr="00144E96">
        <w:tc>
          <w:tcPr>
            <w:tcW w:w="3369" w:type="dxa"/>
          </w:tcPr>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ТЕЛЬНИЙ</w:t>
            </w:r>
          </w:p>
          <w:p w:rsidR="00C27CF9" w:rsidRPr="00C27CF9" w:rsidRDefault="00C27CF9" w:rsidP="00144E96">
            <w:pPr>
              <w:tabs>
                <w:tab w:val="left" w:pos="7106"/>
              </w:tabs>
              <w:jc w:val="both"/>
              <w:rPr>
                <w:rFonts w:ascii="Times New Roman" w:hAnsi="Times New Roman"/>
                <w:sz w:val="28"/>
                <w:szCs w:val="28"/>
                <w:lang w:val="uk-UA"/>
              </w:rPr>
            </w:pPr>
            <w:r w:rsidRPr="00C27CF9">
              <w:rPr>
                <w:rFonts w:ascii="Times New Roman" w:hAnsi="Times New Roman"/>
                <w:sz w:val="28"/>
                <w:szCs w:val="28"/>
                <w:lang w:val="uk-UA"/>
              </w:rPr>
              <w:t>Віталій Борисович</w:t>
            </w:r>
          </w:p>
        </w:tc>
        <w:tc>
          <w:tcPr>
            <w:tcW w:w="6260" w:type="dxa"/>
          </w:tcPr>
          <w:p w:rsidR="00C27CF9" w:rsidRPr="00C27CF9" w:rsidRDefault="00C27CF9" w:rsidP="00C27CF9">
            <w:pPr>
              <w:numPr>
                <w:ilvl w:val="0"/>
                <w:numId w:val="1"/>
              </w:numPr>
              <w:tabs>
                <w:tab w:val="left" w:pos="7106"/>
              </w:tabs>
              <w:spacing w:after="0" w:line="240" w:lineRule="auto"/>
              <w:ind w:left="175" w:hanging="142"/>
              <w:contextualSpacing/>
              <w:jc w:val="both"/>
              <w:rPr>
                <w:rFonts w:ascii="Times New Roman" w:hAnsi="Times New Roman"/>
                <w:sz w:val="28"/>
                <w:szCs w:val="28"/>
                <w:lang w:val="uk-UA"/>
              </w:rPr>
            </w:pPr>
            <w:r w:rsidRPr="00C27CF9">
              <w:rPr>
                <w:rFonts w:ascii="Times New Roman" w:hAnsi="Times New Roman"/>
                <w:sz w:val="28"/>
                <w:szCs w:val="28"/>
                <w:lang w:val="uk-UA"/>
              </w:rPr>
              <w:t>начальник Кіровоградської районної державної лікарні ветеринарної  медицини (за згодою)</w:t>
            </w:r>
          </w:p>
        </w:tc>
      </w:tr>
      <w:tr w:rsidR="00C27CF9" w:rsidRPr="00C27CF9" w:rsidTr="00144E96">
        <w:tc>
          <w:tcPr>
            <w:tcW w:w="3369" w:type="dxa"/>
          </w:tcPr>
          <w:p w:rsidR="00C27CF9" w:rsidRPr="00C27CF9" w:rsidRDefault="00C27CF9" w:rsidP="00144E96">
            <w:pPr>
              <w:tabs>
                <w:tab w:val="left" w:pos="7106"/>
              </w:tabs>
              <w:jc w:val="both"/>
              <w:rPr>
                <w:rFonts w:ascii="Times New Roman" w:hAnsi="Times New Roman"/>
                <w:sz w:val="28"/>
                <w:szCs w:val="28"/>
                <w:lang w:val="uk-UA"/>
              </w:rPr>
            </w:pPr>
          </w:p>
        </w:tc>
        <w:tc>
          <w:tcPr>
            <w:tcW w:w="6260" w:type="dxa"/>
          </w:tcPr>
          <w:p w:rsidR="00C27CF9" w:rsidRPr="00C27CF9" w:rsidRDefault="00C27CF9" w:rsidP="00144E96">
            <w:pPr>
              <w:tabs>
                <w:tab w:val="left" w:pos="7106"/>
              </w:tabs>
              <w:jc w:val="both"/>
              <w:rPr>
                <w:rFonts w:ascii="Times New Roman" w:hAnsi="Times New Roman"/>
                <w:sz w:val="28"/>
                <w:szCs w:val="28"/>
                <w:lang w:val="uk-UA"/>
              </w:rPr>
            </w:pPr>
          </w:p>
        </w:tc>
      </w:tr>
    </w:tbl>
    <w:p w:rsidR="00C27CF9" w:rsidRPr="00C27CF9" w:rsidRDefault="00C27CF9" w:rsidP="00C27CF9">
      <w:pPr>
        <w:tabs>
          <w:tab w:val="left" w:pos="7106"/>
        </w:tabs>
        <w:spacing w:after="0" w:line="240" w:lineRule="auto"/>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_________________________________</w:t>
      </w:r>
    </w:p>
    <w:p w:rsidR="00C27CF9" w:rsidRPr="00C27CF9" w:rsidRDefault="00C27CF9" w:rsidP="00C27CF9">
      <w:pPr>
        <w:tabs>
          <w:tab w:val="left" w:pos="7106"/>
        </w:tabs>
        <w:spacing w:after="0" w:line="240" w:lineRule="auto"/>
        <w:jc w:val="both"/>
        <w:rPr>
          <w:rFonts w:ascii="Times New Roman" w:eastAsia="Times New Roman" w:hAnsi="Times New Roman" w:cs="Times New Roman"/>
          <w:b/>
          <w:sz w:val="28"/>
          <w:szCs w:val="28"/>
          <w:lang w:val="uk-UA" w:bidi="en-US"/>
        </w:rPr>
      </w:pPr>
    </w:p>
    <w:p w:rsidR="00C27CF9" w:rsidRPr="00C27CF9" w:rsidRDefault="00C27CF9" w:rsidP="00C27CF9">
      <w:pPr>
        <w:tabs>
          <w:tab w:val="left" w:pos="7106"/>
        </w:tabs>
        <w:spacing w:after="0" w:line="240" w:lineRule="auto"/>
        <w:jc w:val="both"/>
        <w:rPr>
          <w:rFonts w:ascii="Times New Roman" w:eastAsia="Times New Roman" w:hAnsi="Times New Roman" w:cs="Times New Roman"/>
          <w:b/>
          <w:sz w:val="28"/>
          <w:szCs w:val="28"/>
          <w:lang w:val="uk-UA" w:bidi="en-US"/>
        </w:rPr>
      </w:pPr>
    </w:p>
    <w:p w:rsidR="00C27CF9" w:rsidRP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P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P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P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P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Default="00C27CF9" w:rsidP="00C27CF9">
      <w:pPr>
        <w:spacing w:after="0" w:line="240" w:lineRule="auto"/>
        <w:ind w:left="5387"/>
        <w:jc w:val="both"/>
        <w:rPr>
          <w:rFonts w:ascii="Times New Roman" w:eastAsia="Times New Roman" w:hAnsi="Times New Roman" w:cs="Times New Roman"/>
          <w:sz w:val="28"/>
          <w:szCs w:val="28"/>
          <w:lang w:val="uk-UA" w:eastAsia="uk-UA" w:bidi="uk-UA"/>
        </w:rPr>
      </w:pPr>
    </w:p>
    <w:p w:rsidR="00C27CF9" w:rsidRPr="00C27CF9" w:rsidRDefault="00C27CF9" w:rsidP="00C27CF9">
      <w:pPr>
        <w:spacing w:after="0" w:line="240" w:lineRule="auto"/>
        <w:ind w:left="5387"/>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eastAsia="uk-UA" w:bidi="uk-UA"/>
        </w:rPr>
        <w:t>Додаток 2</w:t>
      </w:r>
    </w:p>
    <w:p w:rsidR="00C27CF9" w:rsidRPr="00C27CF9" w:rsidRDefault="00C27CF9" w:rsidP="00C27CF9">
      <w:pPr>
        <w:tabs>
          <w:tab w:val="left" w:leader="underscore" w:pos="7922"/>
        </w:tabs>
        <w:spacing w:after="0" w:line="240" w:lineRule="auto"/>
        <w:ind w:left="5387"/>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eastAsia="uk-UA" w:bidi="uk-UA"/>
        </w:rPr>
        <w:t>до рішення виконавчого комітету</w:t>
      </w:r>
    </w:p>
    <w:p w:rsidR="00C27CF9" w:rsidRPr="00C27CF9" w:rsidRDefault="00C27CF9" w:rsidP="00C27CF9">
      <w:pPr>
        <w:tabs>
          <w:tab w:val="left" w:leader="underscore" w:pos="6713"/>
          <w:tab w:val="left" w:leader="underscore" w:pos="8393"/>
        </w:tabs>
        <w:spacing w:after="562" w:line="240" w:lineRule="auto"/>
        <w:ind w:left="5387"/>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eastAsia="uk-UA" w:bidi="uk-UA"/>
        </w:rPr>
        <w:t>Великосеверинівської сільської ради від 29 квітня 2021 року № 53</w:t>
      </w:r>
    </w:p>
    <w:p w:rsidR="00C27CF9" w:rsidRPr="00C27CF9" w:rsidRDefault="00C27CF9" w:rsidP="00C27CF9">
      <w:pPr>
        <w:tabs>
          <w:tab w:val="left" w:leader="underscore" w:pos="6713"/>
          <w:tab w:val="left" w:leader="underscore" w:pos="8393"/>
        </w:tabs>
        <w:spacing w:after="0" w:line="240" w:lineRule="auto"/>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Положення</w:t>
      </w:r>
    </w:p>
    <w:p w:rsidR="00C27CF9" w:rsidRPr="00C27CF9" w:rsidRDefault="00C27CF9" w:rsidP="00C27CF9">
      <w:pPr>
        <w:shd w:val="clear" w:color="auto" w:fill="FFFFFF"/>
        <w:spacing w:after="0" w:line="289" w:lineRule="atLeast"/>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про конкурсну комісію з визначення виконавця послуг</w:t>
      </w:r>
    </w:p>
    <w:p w:rsidR="00C27CF9" w:rsidRPr="00C27CF9" w:rsidRDefault="00C27CF9" w:rsidP="00C27CF9">
      <w:pPr>
        <w:shd w:val="clear" w:color="auto" w:fill="FFFFFF"/>
        <w:spacing w:after="0" w:line="289" w:lineRule="atLeast"/>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 xml:space="preserve">з вивезення побутових відходів на території </w:t>
      </w:r>
    </w:p>
    <w:p w:rsidR="00C27CF9" w:rsidRPr="00C27CF9" w:rsidRDefault="00C27CF9" w:rsidP="00C27CF9">
      <w:pPr>
        <w:shd w:val="clear" w:color="auto" w:fill="FFFFFF"/>
        <w:spacing w:after="0" w:line="289" w:lineRule="atLeast"/>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Великосеверинівської сільської ради</w:t>
      </w:r>
    </w:p>
    <w:p w:rsidR="00C27CF9" w:rsidRPr="00C27CF9" w:rsidRDefault="00C27CF9" w:rsidP="00C27CF9">
      <w:pPr>
        <w:shd w:val="clear" w:color="auto" w:fill="FFFFFF"/>
        <w:spacing w:after="0" w:line="289" w:lineRule="atLeast"/>
        <w:jc w:val="center"/>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b/>
          <w:bCs/>
          <w:sz w:val="28"/>
          <w:szCs w:val="28"/>
          <w:lang w:val="uk-UA" w:bidi="en-US"/>
        </w:rPr>
        <w:t> </w:t>
      </w:r>
    </w:p>
    <w:p w:rsidR="00C27CF9" w:rsidRPr="00C27CF9" w:rsidRDefault="00C27CF9" w:rsidP="00C27CF9">
      <w:pPr>
        <w:spacing w:after="0"/>
        <w:ind w:firstLine="851"/>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1. Загальні положення</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1.1. Дане Положення розроблено відповідно до вимог Закону України «Про житлово-комунальні послуги», Закону України «Про відходи», постанови Кабінету Міністрів України від 10.12.2008 № 1070 «Про затвердження Правил надання послуг з поводження з побутовими відходами», постанови Кабінету Міністрів України від 16.11.2011 №1173 «Питання надання послуг з вивезення побутових відходів», інших нормативно-правових актів.</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1.2. Положення визначає процедуру підготовки та проведення конкурсу з визначення виконавця послуг з вивезення побутових відходів на території Великосеверинівської сільської ради.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1.3. Метою проведення конкурсу є впорядкування та належна організація діяльності у сфері поводження з побутовими відходами на території Великосеверинівської сільської ради.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1.4. Основними принципами проведення конкурсу є:</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відкритість процедури організації та проведення конкурсу;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доступність інформації про конкурс;</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об’єктивність та неупередженість конкурсної комісії.</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1.5. Поняття, що використовуються у цьому Положенні, мають таке значення:</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конкурсна документація – комплект документів, які надаються організатором конкурсу його учасникам для підготовки конкурсних пропозицій;</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конкурсна пропозиція – комплект документів, які готуються учасником конкурсу згідно з установленими вимогами та подаються організаторові конкурсу;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lastRenderedPageBreak/>
        <w:t>- організатор конкурсу – виконавчий комітет Великосеверинівської сільської ради;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учасник конкурсу – суб’єкт господарювання, що подав конкурсну пропозицію.</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1.6. Інші поняття, що використовуються у цьому Положенні вживаються у значенні, наведеному у Законах України «Про житлово-комунальні послуги», «Про відходи», Порядку проведення конкурсу з надання житлово-комунальних послуг, затвердженому постановою Кабінету Міністрів України від                  21 липня 2005 року №631, Правилах надання послуг з поводження з побутовими відходами, затверджених постановою Кабінету Міністрів України від 10 грудня 2008 року №1070.</w:t>
      </w:r>
    </w:p>
    <w:p w:rsidR="00C27CF9" w:rsidRPr="00C27CF9" w:rsidRDefault="00C27CF9" w:rsidP="00C27CF9">
      <w:pPr>
        <w:spacing w:after="0"/>
        <w:ind w:firstLine="851"/>
        <w:jc w:val="center"/>
        <w:rPr>
          <w:rFonts w:ascii="Times New Roman" w:eastAsia="Times New Roman" w:hAnsi="Times New Roman" w:cs="Times New Roman"/>
          <w:b/>
          <w:sz w:val="28"/>
          <w:szCs w:val="28"/>
          <w:lang w:val="uk-UA" w:bidi="en-US"/>
        </w:rPr>
      </w:pPr>
    </w:p>
    <w:p w:rsidR="00C27CF9" w:rsidRPr="00C27CF9" w:rsidRDefault="00C27CF9" w:rsidP="00C27CF9">
      <w:pPr>
        <w:spacing w:after="0"/>
        <w:ind w:firstLine="851"/>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2. Порядок проведення конкурсу з визначення виконавця послуг      з поводження з побутовими відходами на території         Великосеверинівської сільської ради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2.1. Організація і проведення конкурсу здійснюється виконавчим комітетом Великосеверинівської сільської ради.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 Для проведення конкурсу організатор конкурсу готує конкурсну документацію, яка має містити таку інформацію:</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2.2.1. найменування, місцезнаходження організатора конкурсу;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2.2.2. підстава для проведення конкурсу (дата та номер рішення органу місцевого самоврядування);</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2.2.4. кваліфікаційні вимоги до учасників конкурсу:</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наявність матеріально-технічної бази;</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вартість надання послуг;</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досвід роботи з надання послуг з вивезення побутових відходів;</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наявність та кількість працівників відповідної кваліфікації;</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xml:space="preserve">2.2.5. обсяг послуг з вивезення побутових </w:t>
      </w:r>
      <w:proofErr w:type="spellStart"/>
      <w:r w:rsidRPr="00C27CF9">
        <w:rPr>
          <w:rFonts w:ascii="Times New Roman" w:eastAsia="Times New Roman" w:hAnsi="Times New Roman" w:cs="Times New Roman"/>
          <w:sz w:val="28"/>
          <w:szCs w:val="28"/>
          <w:lang w:val="uk-UA" w:bidi="en-US"/>
        </w:rPr>
        <w:t>відходівта</w:t>
      </w:r>
      <w:proofErr w:type="spellEnd"/>
      <w:r w:rsidRPr="00C27CF9">
        <w:rPr>
          <w:rFonts w:ascii="Times New Roman" w:eastAsia="Times New Roman" w:hAnsi="Times New Roman" w:cs="Times New Roman"/>
          <w:sz w:val="28"/>
          <w:szCs w:val="28"/>
          <w:lang w:val="uk-UA" w:bidi="en-US"/>
        </w:rPr>
        <w:t xml:space="preserve"> вимоги щодо якості надання послуг згідно з критерієм, що визначається відповідно до Правил надання послуг з поводження з побутовими відходами;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xml:space="preserve">2.2.7.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w:t>
      </w:r>
      <w:r w:rsidRPr="00C27CF9">
        <w:rPr>
          <w:rFonts w:ascii="Times New Roman" w:eastAsia="Times New Roman" w:hAnsi="Times New Roman" w:cs="Times New Roman"/>
          <w:sz w:val="28"/>
          <w:szCs w:val="28"/>
          <w:lang w:val="uk-UA" w:bidi="en-US"/>
        </w:rPr>
        <w:lastRenderedPageBreak/>
        <w:t>побутових відходів, середня відстань до об’єктів поводження з відходами та їх місцезнаходження;</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2.2.8. характеристика об’єктів утворення побутових відходів за джерелами їх утворення:</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а) багатоквартирні житлові будинки:</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загальна кількість будинків, кількість мешканців таких будинків;</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xml:space="preserve">місцезнаходження будинків, їх характеристика залежно від наявності видів благоустрою (каналізації, центрального опалення, </w:t>
      </w:r>
      <w:proofErr w:type="spellStart"/>
      <w:r w:rsidRPr="00C27CF9">
        <w:rPr>
          <w:rFonts w:ascii="Times New Roman" w:eastAsia="Times New Roman" w:hAnsi="Times New Roman" w:cs="Times New Roman"/>
          <w:sz w:val="28"/>
          <w:szCs w:val="28"/>
          <w:lang w:val="uk-UA" w:bidi="en-US"/>
        </w:rPr>
        <w:t>водо-</w:t>
      </w:r>
      <w:proofErr w:type="spellEnd"/>
      <w:r w:rsidRPr="00C27CF9">
        <w:rPr>
          <w:rFonts w:ascii="Times New Roman" w:eastAsia="Times New Roman" w:hAnsi="Times New Roman" w:cs="Times New Roman"/>
          <w:sz w:val="28"/>
          <w:szCs w:val="28"/>
          <w:lang w:val="uk-UA" w:bidi="en-US"/>
        </w:rPr>
        <w:t xml:space="preserve"> та газопостачання);</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xml:space="preserve">відомості про </w:t>
      </w:r>
      <w:proofErr w:type="spellStart"/>
      <w:r w:rsidRPr="00C27CF9">
        <w:rPr>
          <w:rFonts w:ascii="Times New Roman" w:eastAsia="Times New Roman" w:hAnsi="Times New Roman" w:cs="Times New Roman"/>
          <w:sz w:val="28"/>
          <w:szCs w:val="28"/>
          <w:lang w:val="uk-UA" w:bidi="en-US"/>
        </w:rPr>
        <w:t>балансоутримувачів</w:t>
      </w:r>
      <w:proofErr w:type="spellEnd"/>
      <w:r w:rsidRPr="00C27CF9">
        <w:rPr>
          <w:rFonts w:ascii="Times New Roman" w:eastAsia="Times New Roman" w:hAnsi="Times New Roman" w:cs="Times New Roman"/>
          <w:sz w:val="28"/>
          <w:szCs w:val="28"/>
          <w:lang w:val="uk-UA" w:bidi="en-US"/>
        </w:rPr>
        <w:t xml:space="preserve"> будинків;</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xml:space="preserve"> б) одноквартирні житлові будинки:</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загальна кількість будинків, кількість мешканців таких будинків;</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xml:space="preserve">місцезнаходження будинків, їх характеристика залежно від наявності видів благоустрою (каналізації, центрального опалення, </w:t>
      </w:r>
      <w:proofErr w:type="spellStart"/>
      <w:r w:rsidRPr="00C27CF9">
        <w:rPr>
          <w:rFonts w:ascii="Times New Roman" w:eastAsia="Times New Roman" w:hAnsi="Times New Roman" w:cs="Times New Roman"/>
          <w:sz w:val="28"/>
          <w:szCs w:val="28"/>
          <w:lang w:val="uk-UA" w:bidi="en-US"/>
        </w:rPr>
        <w:t>водо-</w:t>
      </w:r>
      <w:proofErr w:type="spellEnd"/>
      <w:r w:rsidRPr="00C27CF9">
        <w:rPr>
          <w:rFonts w:ascii="Times New Roman" w:eastAsia="Times New Roman" w:hAnsi="Times New Roman" w:cs="Times New Roman"/>
          <w:sz w:val="28"/>
          <w:szCs w:val="28"/>
          <w:lang w:val="uk-UA" w:bidi="en-US"/>
        </w:rPr>
        <w:t xml:space="preserve"> та газопостачання);</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кількість будинків, у яких відсутнє централізоване водопостачання та каналізація, а рідкі відходи зберігаються у вигрібних ямах;</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характеристика під’їзних шляхів;</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в) підприємства, установи та організації:</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xml:space="preserve">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опалення, </w:t>
      </w:r>
      <w:proofErr w:type="spellStart"/>
      <w:r w:rsidRPr="00C27CF9">
        <w:rPr>
          <w:rFonts w:ascii="Times New Roman" w:eastAsia="Times New Roman" w:hAnsi="Times New Roman" w:cs="Times New Roman"/>
          <w:sz w:val="28"/>
          <w:szCs w:val="28"/>
          <w:lang w:val="uk-UA" w:bidi="en-US"/>
        </w:rPr>
        <w:t>водо-</w:t>
      </w:r>
      <w:proofErr w:type="spellEnd"/>
      <w:r w:rsidRPr="00C27CF9">
        <w:rPr>
          <w:rFonts w:ascii="Times New Roman" w:eastAsia="Times New Roman" w:hAnsi="Times New Roman" w:cs="Times New Roman"/>
          <w:sz w:val="28"/>
          <w:szCs w:val="28"/>
          <w:lang w:val="uk-UA" w:bidi="en-US"/>
        </w:rPr>
        <w:t xml:space="preserve"> та газопостачання), місцезнаходження, кількість, об’єм, місцезнаходження та належність контейнерів;</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2.2.9. 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У разі відсутності відповідного об’єкта поводження з побутовими відходами на певній території або недостатнього обсягу потужностей для відповідної кількості побутових відходів (небезпечних відходів у складі побутових відходів) відходи повинні перевозитися до відповідного найближчого об’єкта поводження з ними.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2.2.10. вимоги до конкурсних пропозицій;</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2.2.11. критерії оцінки конкурсних пропозицій;</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lastRenderedPageBreak/>
        <w:t>2.2.12.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2.2.13. способи, місце та кінцевий строк подання конкурсних пропозицій;</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2.2.14. місце, дата та час розкриття конвертів з конкурсними пропозиціями.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2.3. Головою конкурсної комісії призначається представник організатора конкурсу.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дід та баба).</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2.4. Передбачені конкурсною документацією умови проведення конкурсу обов’язкові для конкурсної комісії та його учасників.</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xml:space="preserve">2.5. Організатор конкурсу публікує на офіційному сайті Великосеверинівської сільської ради та </w:t>
      </w:r>
      <w:r w:rsidRPr="00C27CF9">
        <w:rPr>
          <w:rFonts w:ascii="Times New Roman" w:eastAsia="Times New Roman" w:hAnsi="Times New Roman" w:cs="Times New Roman"/>
          <w:sz w:val="28"/>
          <w:szCs w:val="28"/>
          <w:lang w:val="uk-UA" w:eastAsia="uk-UA" w:bidi="uk-UA"/>
        </w:rPr>
        <w:t xml:space="preserve">в місцевому друкованому засобі масової інформації </w:t>
      </w:r>
      <w:r w:rsidRPr="00C27CF9">
        <w:rPr>
          <w:rFonts w:ascii="Times New Roman" w:eastAsia="Times New Roman" w:hAnsi="Times New Roman" w:cs="Times New Roman"/>
          <w:sz w:val="28"/>
          <w:szCs w:val="28"/>
          <w:lang w:val="uk-UA" w:bidi="en-US"/>
        </w:rPr>
        <w:t>не пізніше ніж за 30 календарних днів до початку конкурсу оголошення про проведення конкурсу, яке повинне містити інформацію, передбачену підпунктами 2.2.1.-2.2.4., 2.2.7.-2.2.9., 2.2.13. пункту 2.2. цього Положення, а також про способи і місце отримання конкурсної документації.</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2.6.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2.7. Організатор конкурсу протягом трьох робочих днів після надходження від учасника заявки про участь у конкурсі надає йому конкурсну документацію особисто або надсилає поштою.</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2.8.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2.9. Уразі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Організатором конкурсу ведеться протокол зазначених зборів, який надсилається або надається усім учасникам зборів в день їх проведення.</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lastRenderedPageBreak/>
        <w:t>2.10.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надіслано конкурсну документацію.</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2.11.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сім календарних днів, про що повідомляються учасники.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p>
    <w:p w:rsidR="00C27CF9" w:rsidRPr="00C27CF9" w:rsidRDefault="00C27CF9" w:rsidP="00C27CF9">
      <w:pPr>
        <w:spacing w:after="0"/>
        <w:ind w:firstLine="851"/>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3. Подання документів</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3.1. Для участі у конкурсі його учасники подають оригінали (або) засвідчені в установленому законодавством порядку копії документів:</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балансового звіту суб’єкта господарювання за останній звітній період;</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довідки відповідних органів державної податкової служби і Пенсійного фонду України про відсутність (наявність) заборгованості за податковими зобов’язаннями та платежами до Пенсійного фонду України;</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документа,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технічних паспортів на спеціально обладнані транспортні засоби та довідки про проходження ними технічного огляду;</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xml:space="preserve">довідки-характеристики спеціально обладнаних транспортних засобів: тип, вантажопідйомність, наявність пристроїв автоматизованого </w:t>
      </w:r>
      <w:proofErr w:type="spellStart"/>
      <w:r w:rsidRPr="00C27CF9">
        <w:rPr>
          <w:rFonts w:ascii="Times New Roman" w:eastAsia="Times New Roman" w:hAnsi="Times New Roman" w:cs="Times New Roman"/>
          <w:sz w:val="28"/>
          <w:szCs w:val="28"/>
          <w:lang w:val="uk-UA" w:bidi="en-US"/>
        </w:rPr>
        <w:t>геоінформаційного</w:t>
      </w:r>
      <w:proofErr w:type="spellEnd"/>
      <w:r w:rsidRPr="00C27CF9">
        <w:rPr>
          <w:rFonts w:ascii="Times New Roman" w:eastAsia="Times New Roman" w:hAnsi="Times New Roman" w:cs="Times New Roman"/>
          <w:sz w:val="28"/>
          <w:szCs w:val="28"/>
          <w:lang w:val="uk-UA" w:bidi="en-US"/>
        </w:rPr>
        <w:t xml:space="preserve">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довідки про проходження водіями медичного огляду;</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документа, що містить відомості про досвід роботи з надання послуг з вивезення побутових відходів;</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кількість відходів, які відправляються на захоронення, тощо;</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lastRenderedPageBreak/>
        <w:t>інших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3.2. 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3.3. Конверти з конкурсними пропозиціями, що надійшли після закінчення строку їх подання, не розкриваються і повертаються учасникам конкурсу.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3.4.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3.5. Учасник конкурсу має право відкликати власну конкурсну пропозицію або внести до неї зміни до закінчення строку подання пропозицій.</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 xml:space="preserve">3.6. Конкурсні пропозиції реєструються конкурсною комісією в журналі </w:t>
      </w:r>
      <w:proofErr w:type="spellStart"/>
      <w:r w:rsidRPr="00C27CF9">
        <w:rPr>
          <w:rFonts w:ascii="Times New Roman" w:eastAsia="Times New Roman" w:hAnsi="Times New Roman" w:cs="Times New Roman"/>
          <w:sz w:val="28"/>
          <w:szCs w:val="28"/>
          <w:lang w:val="uk-UA" w:bidi="en-US"/>
        </w:rPr>
        <w:t>обліку.Конкурсна</w:t>
      </w:r>
      <w:proofErr w:type="spellEnd"/>
      <w:r w:rsidRPr="00C27CF9">
        <w:rPr>
          <w:rFonts w:ascii="Times New Roman" w:eastAsia="Times New Roman" w:hAnsi="Times New Roman" w:cs="Times New Roman"/>
          <w:sz w:val="28"/>
          <w:szCs w:val="28"/>
          <w:lang w:val="uk-UA" w:bidi="en-US"/>
        </w:rPr>
        <w:t xml:space="preserve"> комісія підтверджує надходження конкурсної пропозиції шляхом повідомлення учасника конкурсу про дату і час отримання конкурсної пропозиції та порядковий номер реєстрації пропозиції.</w:t>
      </w:r>
    </w:p>
    <w:p w:rsidR="00C27CF9" w:rsidRPr="00C27CF9" w:rsidRDefault="00C27CF9" w:rsidP="00C27CF9">
      <w:pPr>
        <w:spacing w:after="0"/>
        <w:ind w:firstLine="851"/>
        <w:jc w:val="center"/>
        <w:rPr>
          <w:rFonts w:ascii="Times New Roman" w:eastAsia="Times New Roman" w:hAnsi="Times New Roman" w:cs="Times New Roman"/>
          <w:b/>
          <w:sz w:val="28"/>
          <w:szCs w:val="28"/>
          <w:lang w:val="uk-UA" w:bidi="en-US"/>
        </w:rPr>
      </w:pPr>
    </w:p>
    <w:p w:rsidR="00C27CF9" w:rsidRPr="00C27CF9" w:rsidRDefault="00C27CF9" w:rsidP="00C27CF9">
      <w:pPr>
        <w:spacing w:after="0"/>
        <w:ind w:firstLine="851"/>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4. Проведення конкурсу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4.1. Розкриття конвертів з конкурсними пропозиціями проводиться у  день закінчення строку їх подання у місці та час, передбачених конкурсною документацією, в присутності всіх учасників конкурсу або уповноважених ними осіб, що з’явилися на конкурс.</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Розкриття конверта з конкурсною пропозицією може проводитися за відсутності учасника конкурсу або уповноваженої ним особи у разі його згоди.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4.2.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4.3.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lastRenderedPageBreak/>
        <w:t>4.4. За результатами розгляду конкурсних пропозицій конкурсна комісія відхиляє пропозиції з таких причин:</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учасник конкурсу не відповідає кваліфікаційним вимогам, передбаченим конкурсною документацією;</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конкурсна пропозиція не відповідає конкурсній документації;</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встановлення факту подання недостовірної інформації, яка впливає на прийняття рішення;</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учасник конкурсу перебуває у стані ліквідації, його визнано банкрутом або порушено провадження у справі про його банкрутство.</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4.5. Конкурс може бути визнаний таким, що не відбувся, у разі:</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неподання конкурсних пропозицій;</w:t>
      </w:r>
    </w:p>
    <w:p w:rsidR="00C27CF9" w:rsidRPr="00C27CF9" w:rsidRDefault="00C27CF9" w:rsidP="00C27CF9">
      <w:pPr>
        <w:numPr>
          <w:ilvl w:val="0"/>
          <w:numId w:val="2"/>
        </w:numPr>
        <w:spacing w:after="0" w:line="240" w:lineRule="auto"/>
        <w:ind w:left="0" w:firstLine="851"/>
        <w:contextualSpacing/>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відхилення всіх конкурсних пропозицій з причин, передбачених пунктом 4.4. цього Положення.</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4.6.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p>
    <w:p w:rsidR="00C27CF9" w:rsidRPr="00C27CF9" w:rsidRDefault="00C27CF9" w:rsidP="00C27CF9">
      <w:pPr>
        <w:spacing w:after="0"/>
        <w:ind w:firstLine="851"/>
        <w:jc w:val="center"/>
        <w:rPr>
          <w:rFonts w:ascii="Times New Roman" w:eastAsia="Times New Roman" w:hAnsi="Times New Roman" w:cs="Times New Roman"/>
          <w:b/>
          <w:sz w:val="28"/>
          <w:szCs w:val="28"/>
          <w:lang w:val="uk-UA" w:bidi="en-US"/>
        </w:rPr>
      </w:pPr>
      <w:r w:rsidRPr="00C27CF9">
        <w:rPr>
          <w:rFonts w:ascii="Times New Roman" w:eastAsia="Times New Roman" w:hAnsi="Times New Roman" w:cs="Times New Roman"/>
          <w:b/>
          <w:sz w:val="28"/>
          <w:szCs w:val="28"/>
          <w:lang w:val="uk-UA" w:bidi="en-US"/>
        </w:rPr>
        <w:t>5. Визначення переможця конкурсу та укладення договору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5.1. Конкурсні пропозиції, які не були відхилені з причин, передбачених пунктом 4.4. цього Положення, оцінюються конкурсною комісією за критеріями, встановленими у конкурсній документації.</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5.2.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5.3.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Рішення конкурсної комісії оформляється протоколом, який підписується усіма членами комісії, що брали участь у голосуванні.</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5.4. Організатор конкурсу протягом не більш як п’яти робочих днів з дня проведення конкурсу вводить у дію відповідним актом рішення конкурсної комісії щодо визначення переможця конкурсу на певній території населеного пункту, межі якої були визначені умовами конкурсу, та зазначає строк, протягом якого виконавець має право надавати такі послуги, але не менш як п’ять років.</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lastRenderedPageBreak/>
        <w:t>У разі коли в конкурсі взяв участь тільки один учасник і його пропозицію не було відхилено, строк, на який він визначається виконавцем послуг з вивезення побутових відходів на території сільської ради, повинен становити 12 місяців, після чого організовується і проводиться новий конкурс.</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5.5. 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території сільської ради відповідно до типового договору.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5.6. За тридцять днів до припинення договору на надання послуг з вивезення побутових відходів на території сільської ради проводиться новий конкурс на надання послуг з вивезення побутових відходів на території, визначеній таким договором.</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5.7. Спори, що виникають у зв’язку з проведенням конкурсу, розглядаються в установленому законодавством порядку.</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p>
    <w:p w:rsidR="00C27CF9" w:rsidRPr="00C27CF9" w:rsidRDefault="00C27CF9" w:rsidP="00C27CF9">
      <w:pPr>
        <w:spacing w:after="0"/>
        <w:ind w:firstLine="851"/>
        <w:jc w:val="center"/>
        <w:rPr>
          <w:rFonts w:ascii="Times New Roman" w:eastAsia="Times New Roman" w:hAnsi="Times New Roman" w:cs="Times New Roman"/>
          <w:sz w:val="28"/>
          <w:szCs w:val="28"/>
          <w:lang w:val="uk-UA" w:bidi="en-US"/>
        </w:rPr>
      </w:pPr>
      <w:r w:rsidRPr="00C27CF9">
        <w:rPr>
          <w:rFonts w:ascii="Times New Roman" w:eastAsia="Times New Roman" w:hAnsi="Times New Roman" w:cs="Times New Roman"/>
          <w:sz w:val="28"/>
          <w:szCs w:val="28"/>
          <w:lang w:val="uk-UA" w:bidi="en-US"/>
        </w:rPr>
        <w:t>____________________________</w:t>
      </w: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p>
    <w:p w:rsidR="00C27CF9" w:rsidRPr="00C27CF9" w:rsidRDefault="00C27CF9" w:rsidP="00C27CF9">
      <w:pPr>
        <w:spacing w:after="0"/>
        <w:ind w:firstLine="851"/>
        <w:jc w:val="both"/>
        <w:rPr>
          <w:rFonts w:ascii="Times New Roman" w:eastAsia="Times New Roman" w:hAnsi="Times New Roman" w:cs="Times New Roman"/>
          <w:sz w:val="28"/>
          <w:szCs w:val="28"/>
          <w:lang w:val="uk-UA" w:bidi="en-US"/>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r w:rsidRPr="00C27CF9">
        <w:rPr>
          <w:rFonts w:ascii="Times New Roman" w:eastAsia="Times New Roman" w:hAnsi="Times New Roman" w:cs="Times New Roman"/>
          <w:sz w:val="28"/>
          <w:szCs w:val="28"/>
          <w:lang w:val="uk-UA" w:eastAsia="uk-UA" w:bidi="uk-UA"/>
        </w:rPr>
        <w:tab/>
      </w:r>
      <w:r w:rsidRPr="00C27CF9">
        <w:rPr>
          <w:rFonts w:ascii="Times New Roman" w:eastAsia="Times New Roman" w:hAnsi="Times New Roman" w:cs="Times New Roman"/>
          <w:sz w:val="28"/>
          <w:szCs w:val="28"/>
          <w:lang w:val="uk-UA" w:eastAsia="uk-UA" w:bidi="uk-UA"/>
        </w:rPr>
        <w:tab/>
      </w:r>
      <w:r w:rsidRPr="00C27CF9">
        <w:rPr>
          <w:rFonts w:ascii="Times New Roman" w:eastAsia="Times New Roman" w:hAnsi="Times New Roman" w:cs="Times New Roman"/>
          <w:sz w:val="28"/>
          <w:szCs w:val="28"/>
          <w:lang w:val="uk-UA" w:eastAsia="uk-UA" w:bidi="uk-UA"/>
        </w:rPr>
        <w:tab/>
      </w:r>
      <w:r w:rsidRPr="00C27CF9">
        <w:rPr>
          <w:rFonts w:ascii="Times New Roman" w:eastAsia="Times New Roman" w:hAnsi="Times New Roman" w:cs="Times New Roman"/>
          <w:sz w:val="28"/>
          <w:szCs w:val="28"/>
          <w:lang w:val="uk-UA" w:eastAsia="uk-UA" w:bidi="uk-UA"/>
        </w:rPr>
        <w:tab/>
      </w:r>
      <w:r w:rsidRPr="00C27CF9">
        <w:rPr>
          <w:rFonts w:ascii="Times New Roman" w:eastAsia="Times New Roman" w:hAnsi="Times New Roman" w:cs="Times New Roman"/>
          <w:sz w:val="28"/>
          <w:szCs w:val="28"/>
          <w:lang w:val="uk-UA" w:eastAsia="uk-UA" w:bidi="uk-UA"/>
        </w:rPr>
        <w:tab/>
      </w:r>
      <w:r w:rsidRPr="00C27CF9">
        <w:rPr>
          <w:rFonts w:ascii="Times New Roman" w:eastAsia="Times New Roman" w:hAnsi="Times New Roman" w:cs="Times New Roman"/>
          <w:sz w:val="28"/>
          <w:szCs w:val="28"/>
          <w:lang w:val="uk-UA" w:eastAsia="uk-UA" w:bidi="uk-UA"/>
        </w:rPr>
        <w:tab/>
      </w:r>
      <w:r w:rsidRPr="00C27CF9">
        <w:rPr>
          <w:rFonts w:ascii="Times New Roman" w:eastAsia="Times New Roman" w:hAnsi="Times New Roman" w:cs="Times New Roman"/>
          <w:sz w:val="28"/>
          <w:szCs w:val="28"/>
          <w:lang w:val="uk-UA" w:eastAsia="uk-UA" w:bidi="uk-UA"/>
        </w:rPr>
        <w:tab/>
      </w:r>
      <w:r w:rsidRPr="00C27CF9">
        <w:rPr>
          <w:rFonts w:ascii="Times New Roman" w:eastAsia="Times New Roman" w:hAnsi="Times New Roman" w:cs="Times New Roman"/>
          <w:sz w:val="28"/>
          <w:szCs w:val="28"/>
          <w:lang w:val="uk-UA" w:eastAsia="uk-UA" w:bidi="uk-UA"/>
        </w:rPr>
        <w:tab/>
      </w:r>
      <w:r w:rsidRPr="00C27CF9">
        <w:rPr>
          <w:rFonts w:ascii="Times New Roman" w:eastAsia="Times New Roman" w:hAnsi="Times New Roman" w:cs="Times New Roman"/>
          <w:sz w:val="28"/>
          <w:szCs w:val="28"/>
          <w:lang w:val="uk-UA" w:eastAsia="uk-UA" w:bidi="uk-UA"/>
        </w:rPr>
        <w:tab/>
        <w:t xml:space="preserve">     </w:t>
      </w: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P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ab/>
      </w:r>
      <w:r>
        <w:rPr>
          <w:rFonts w:ascii="Times New Roman" w:eastAsia="Times New Roman" w:hAnsi="Times New Roman" w:cs="Times New Roman"/>
          <w:sz w:val="28"/>
          <w:szCs w:val="28"/>
          <w:lang w:val="uk-UA" w:eastAsia="uk-UA" w:bidi="uk-UA"/>
        </w:rPr>
        <w:tab/>
      </w:r>
      <w:r>
        <w:rPr>
          <w:rFonts w:ascii="Times New Roman" w:eastAsia="Times New Roman" w:hAnsi="Times New Roman" w:cs="Times New Roman"/>
          <w:sz w:val="28"/>
          <w:szCs w:val="28"/>
          <w:lang w:val="uk-UA" w:eastAsia="uk-UA" w:bidi="uk-UA"/>
        </w:rPr>
        <w:tab/>
      </w:r>
      <w:r>
        <w:rPr>
          <w:rFonts w:ascii="Times New Roman" w:eastAsia="Times New Roman" w:hAnsi="Times New Roman" w:cs="Times New Roman"/>
          <w:sz w:val="28"/>
          <w:szCs w:val="28"/>
          <w:lang w:val="uk-UA" w:eastAsia="uk-UA" w:bidi="uk-UA"/>
        </w:rPr>
        <w:tab/>
      </w:r>
      <w:r>
        <w:rPr>
          <w:rFonts w:ascii="Times New Roman" w:eastAsia="Times New Roman" w:hAnsi="Times New Roman" w:cs="Times New Roman"/>
          <w:sz w:val="28"/>
          <w:szCs w:val="28"/>
          <w:lang w:val="uk-UA" w:eastAsia="uk-UA" w:bidi="uk-UA"/>
        </w:rPr>
        <w:tab/>
      </w:r>
      <w:r>
        <w:rPr>
          <w:rFonts w:ascii="Times New Roman" w:eastAsia="Times New Roman" w:hAnsi="Times New Roman" w:cs="Times New Roman"/>
          <w:sz w:val="28"/>
          <w:szCs w:val="28"/>
          <w:lang w:val="uk-UA" w:eastAsia="uk-UA" w:bidi="uk-UA"/>
        </w:rPr>
        <w:tab/>
      </w:r>
      <w:r>
        <w:rPr>
          <w:rFonts w:ascii="Times New Roman" w:eastAsia="Times New Roman" w:hAnsi="Times New Roman" w:cs="Times New Roman"/>
          <w:sz w:val="28"/>
          <w:szCs w:val="28"/>
          <w:lang w:val="uk-UA" w:eastAsia="uk-UA" w:bidi="uk-UA"/>
        </w:rPr>
        <w:tab/>
      </w:r>
      <w:r>
        <w:rPr>
          <w:rFonts w:ascii="Times New Roman" w:eastAsia="Times New Roman" w:hAnsi="Times New Roman" w:cs="Times New Roman"/>
          <w:sz w:val="28"/>
          <w:szCs w:val="28"/>
          <w:lang w:val="uk-UA" w:eastAsia="uk-UA" w:bidi="uk-UA"/>
        </w:rPr>
        <w:tab/>
      </w:r>
      <w:r>
        <w:rPr>
          <w:rFonts w:ascii="Times New Roman" w:eastAsia="Times New Roman" w:hAnsi="Times New Roman" w:cs="Times New Roman"/>
          <w:sz w:val="28"/>
          <w:szCs w:val="28"/>
          <w:lang w:val="uk-UA" w:eastAsia="uk-UA" w:bidi="uk-UA"/>
        </w:rPr>
        <w:tab/>
      </w:r>
      <w:r>
        <w:rPr>
          <w:rFonts w:ascii="Times New Roman" w:eastAsia="Times New Roman" w:hAnsi="Times New Roman" w:cs="Times New Roman"/>
          <w:sz w:val="28"/>
          <w:szCs w:val="28"/>
          <w:lang w:val="uk-UA" w:eastAsia="uk-UA" w:bidi="uk-UA"/>
        </w:rPr>
        <w:tab/>
      </w:r>
      <w:r w:rsidRPr="00C27CF9">
        <w:rPr>
          <w:rFonts w:ascii="Times New Roman" w:eastAsia="Times New Roman" w:hAnsi="Times New Roman" w:cs="Times New Roman"/>
          <w:sz w:val="28"/>
          <w:szCs w:val="28"/>
          <w:lang w:val="uk-UA" w:eastAsia="uk-UA" w:bidi="uk-UA"/>
        </w:rPr>
        <w:t>Додаток до положення</w:t>
      </w:r>
    </w:p>
    <w:p w:rsidR="00C27CF9" w:rsidRP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P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r w:rsidRPr="00C27CF9">
        <w:rPr>
          <w:rFonts w:ascii="Times New Roman" w:eastAsia="Times New Roman" w:hAnsi="Times New Roman" w:cs="Times New Roman"/>
          <w:sz w:val="28"/>
          <w:szCs w:val="28"/>
          <w:lang w:val="uk-UA" w:eastAsia="uk-UA" w:bidi="uk-UA"/>
        </w:rPr>
        <w:tab/>
        <w:t>Умовний поділ території Великосеверинівської сільської ради на лоти для проведення конкурсу з визначення надавача послуг з вивезення побутових відходів.</w:t>
      </w:r>
    </w:p>
    <w:p w:rsidR="00C27CF9" w:rsidRP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P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r w:rsidRPr="00C27CF9">
        <w:rPr>
          <w:rFonts w:ascii="Times New Roman" w:eastAsia="Times New Roman" w:hAnsi="Times New Roman" w:cs="Times New Roman"/>
          <w:sz w:val="28"/>
          <w:szCs w:val="28"/>
          <w:lang w:val="uk-UA" w:eastAsia="uk-UA" w:bidi="uk-UA"/>
        </w:rPr>
        <w:tab/>
        <w:t>Для проведення конкурсу з визначення надавача послуг з вивезення побутових відходів виділено два лоти.</w:t>
      </w:r>
    </w:p>
    <w:p w:rsidR="00C27CF9" w:rsidRP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P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r w:rsidRPr="00C27CF9">
        <w:rPr>
          <w:rFonts w:ascii="Times New Roman" w:eastAsia="Times New Roman" w:hAnsi="Times New Roman" w:cs="Times New Roman"/>
          <w:sz w:val="28"/>
          <w:szCs w:val="28"/>
          <w:lang w:val="uk-UA" w:eastAsia="uk-UA" w:bidi="uk-UA"/>
        </w:rPr>
        <w:t>Перший лот - територія Великосеверинівської сільської ради, вивіз рідких побутових відходів.</w:t>
      </w:r>
    </w:p>
    <w:p w:rsidR="00C27CF9" w:rsidRP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p>
    <w:p w:rsidR="00C27CF9" w:rsidRPr="00C27CF9" w:rsidRDefault="00C27CF9" w:rsidP="00C27CF9">
      <w:pPr>
        <w:widowControl w:val="0"/>
        <w:tabs>
          <w:tab w:val="left" w:pos="551"/>
        </w:tabs>
        <w:spacing w:after="0" w:line="322" w:lineRule="exact"/>
        <w:jc w:val="both"/>
        <w:rPr>
          <w:rFonts w:ascii="Times New Roman" w:eastAsia="Times New Roman" w:hAnsi="Times New Roman" w:cs="Times New Roman"/>
          <w:sz w:val="28"/>
          <w:szCs w:val="28"/>
          <w:lang w:val="uk-UA" w:eastAsia="uk-UA" w:bidi="uk-UA"/>
        </w:rPr>
      </w:pPr>
      <w:r w:rsidRPr="00C27CF9">
        <w:rPr>
          <w:rFonts w:ascii="Times New Roman" w:eastAsia="Times New Roman" w:hAnsi="Times New Roman" w:cs="Times New Roman"/>
          <w:sz w:val="28"/>
          <w:szCs w:val="28"/>
          <w:lang w:val="uk-UA" w:eastAsia="uk-UA" w:bidi="uk-UA"/>
        </w:rPr>
        <w:t>Другий лот - територія Великосеверинівської сільської ради, вивіз твердих побутових відходів.</w:t>
      </w:r>
    </w:p>
    <w:p w:rsidR="00DE160B" w:rsidRPr="00C27CF9" w:rsidRDefault="00C27CF9" w:rsidP="00C27CF9">
      <w:pPr>
        <w:widowControl w:val="0"/>
        <w:tabs>
          <w:tab w:val="left" w:pos="551"/>
        </w:tabs>
        <w:spacing w:after="1329" w:line="322" w:lineRule="exact"/>
        <w:jc w:val="center"/>
      </w:pPr>
      <w:r w:rsidRPr="00C27CF9">
        <w:rPr>
          <w:rFonts w:ascii="Times New Roman" w:eastAsia="Times New Roman" w:hAnsi="Times New Roman" w:cs="Times New Roman"/>
          <w:sz w:val="28"/>
          <w:szCs w:val="28"/>
          <w:lang w:val="uk-UA" w:eastAsia="uk-UA" w:bidi="uk-UA"/>
        </w:rPr>
        <w:t>___________________________</w:t>
      </w:r>
    </w:p>
    <w:sectPr w:rsidR="00DE160B" w:rsidRPr="00C27CF9" w:rsidSect="00DE1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4424D"/>
    <w:multiLevelType w:val="hybridMultilevel"/>
    <w:tmpl w:val="A10E1FFA"/>
    <w:lvl w:ilvl="0" w:tplc="AB9C1AD2">
      <w:numFmt w:val="bullet"/>
      <w:lvlText w:val="-"/>
      <w:lvlJc w:val="left"/>
      <w:pPr>
        <w:ind w:left="1931" w:hanging="360"/>
      </w:pPr>
      <w:rPr>
        <w:rFonts w:ascii="Times New Roman" w:eastAsiaTheme="minorHAnsi" w:hAnsi="Times New Roman" w:cs="Times New Roman" w:hint="default"/>
      </w:rPr>
    </w:lvl>
    <w:lvl w:ilvl="1" w:tplc="04220003" w:tentative="1">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1">
    <w:nsid w:val="6D52218D"/>
    <w:multiLevelType w:val="hybridMultilevel"/>
    <w:tmpl w:val="CCFA3BC8"/>
    <w:lvl w:ilvl="0" w:tplc="F9944A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CF9"/>
    <w:rsid w:val="00C27CF9"/>
    <w:rsid w:val="00CA3285"/>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F9"/>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uiPriority w:val="59"/>
    <w:rsid w:val="00C27CF9"/>
    <w:pPr>
      <w:ind w:firstLine="0"/>
      <w:jc w:val="left"/>
    </w:pPr>
    <w:rPr>
      <w:rFonts w:eastAsia="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27C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2626</Words>
  <Characters>14971</Characters>
  <Application>Microsoft Office Word</Application>
  <DocSecurity>0</DocSecurity>
  <Lines>124</Lines>
  <Paragraphs>35</Paragraphs>
  <ScaleCrop>false</ScaleCrop>
  <Company>SPecialiST RePack</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2021-05-16T06:54:00Z</dcterms:created>
  <dcterms:modified xsi:type="dcterms:W3CDTF">2021-05-16T06:56:00Z</dcterms:modified>
</cp:coreProperties>
</file>