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285" w:rsidRPr="00B77285" w:rsidRDefault="00B77285" w:rsidP="00B77285">
      <w:pPr>
        <w:ind w:left="6237"/>
        <w:rPr>
          <w:sz w:val="22"/>
          <w:szCs w:val="22"/>
          <w:lang w:val="uk-UA" w:eastAsia="ar-SA"/>
        </w:rPr>
      </w:pPr>
      <w:r w:rsidRPr="00B77285">
        <w:rPr>
          <w:sz w:val="22"/>
          <w:szCs w:val="22"/>
          <w:lang w:val="uk-UA" w:eastAsia="ar-SA"/>
        </w:rPr>
        <w:t xml:space="preserve">Додаток 1 </w:t>
      </w:r>
    </w:p>
    <w:p w:rsidR="00B77285" w:rsidRPr="00B77285" w:rsidRDefault="00B77285" w:rsidP="00B77285">
      <w:pPr>
        <w:ind w:left="6237"/>
        <w:rPr>
          <w:sz w:val="22"/>
          <w:szCs w:val="22"/>
          <w:lang w:val="uk-UA" w:eastAsia="ar-SA"/>
        </w:rPr>
      </w:pPr>
      <w:r w:rsidRPr="00B77285">
        <w:rPr>
          <w:sz w:val="22"/>
          <w:szCs w:val="22"/>
          <w:lang w:val="uk-UA" w:eastAsia="ar-SA"/>
        </w:rPr>
        <w:t>до рішення сесії Великосеверинівської сільської ради від 27 серпня 2021 року №770</w:t>
      </w:r>
    </w:p>
    <w:p w:rsidR="00B77285" w:rsidRPr="00B77285" w:rsidRDefault="00B77285" w:rsidP="00B77285">
      <w:pPr>
        <w:jc w:val="center"/>
        <w:rPr>
          <w:b/>
          <w:sz w:val="28"/>
          <w:szCs w:val="28"/>
          <w:lang w:val="uk-UA" w:eastAsia="ar-SA"/>
        </w:rPr>
      </w:pPr>
    </w:p>
    <w:p w:rsidR="00B77285" w:rsidRPr="00B77285" w:rsidRDefault="00B77285" w:rsidP="00B77285">
      <w:pPr>
        <w:jc w:val="center"/>
        <w:rPr>
          <w:b/>
          <w:sz w:val="28"/>
          <w:szCs w:val="28"/>
          <w:lang w:val="uk-UA" w:eastAsia="ar-SA"/>
        </w:rPr>
      </w:pPr>
      <w:r w:rsidRPr="00B77285">
        <w:rPr>
          <w:b/>
          <w:sz w:val="28"/>
          <w:szCs w:val="28"/>
          <w:lang w:val="uk-UA" w:eastAsia="ar-SA"/>
        </w:rPr>
        <w:t>Прогноз</w:t>
      </w:r>
      <w:r w:rsidRPr="00B77285">
        <w:rPr>
          <w:b/>
          <w:sz w:val="28"/>
          <w:szCs w:val="28"/>
          <w:lang w:val="uk-UA" w:eastAsia="ar-SA"/>
        </w:rPr>
        <w:br/>
        <w:t xml:space="preserve">бюджету Великосеверинівської </w:t>
      </w:r>
    </w:p>
    <w:p w:rsidR="00B77285" w:rsidRPr="00B77285" w:rsidRDefault="00B77285" w:rsidP="00B77285">
      <w:pPr>
        <w:jc w:val="center"/>
        <w:rPr>
          <w:b/>
          <w:sz w:val="28"/>
          <w:szCs w:val="28"/>
          <w:lang w:val="uk-UA" w:eastAsia="ar-SA"/>
        </w:rPr>
      </w:pPr>
      <w:r w:rsidRPr="00B77285">
        <w:rPr>
          <w:b/>
          <w:sz w:val="28"/>
          <w:szCs w:val="28"/>
          <w:lang w:val="uk-UA" w:eastAsia="ar-SA"/>
        </w:rPr>
        <w:t>сільської територіальної громади на 2022 – 2024 роки</w:t>
      </w:r>
    </w:p>
    <w:p w:rsidR="00B77285" w:rsidRPr="00B77285" w:rsidRDefault="00B77285" w:rsidP="00B77285">
      <w:pPr>
        <w:jc w:val="center"/>
        <w:rPr>
          <w:b/>
          <w:sz w:val="16"/>
          <w:szCs w:val="16"/>
          <w:lang w:val="uk-UA" w:eastAsia="ar-SA"/>
        </w:rPr>
      </w:pPr>
    </w:p>
    <w:p w:rsidR="00B77285" w:rsidRPr="00B77285" w:rsidRDefault="00B77285" w:rsidP="00B77285">
      <w:pPr>
        <w:jc w:val="center"/>
        <w:rPr>
          <w:b/>
          <w:sz w:val="28"/>
          <w:szCs w:val="28"/>
          <w:lang w:val="uk-UA" w:eastAsia="ar-SA"/>
        </w:rPr>
      </w:pPr>
      <w:r w:rsidRPr="00B77285">
        <w:rPr>
          <w:b/>
          <w:sz w:val="28"/>
          <w:szCs w:val="28"/>
          <w:lang w:val="uk-UA" w:eastAsia="ar-SA"/>
        </w:rPr>
        <w:t>(код бюджету 11507000000)</w:t>
      </w:r>
    </w:p>
    <w:p w:rsidR="00B77285" w:rsidRPr="00B77285" w:rsidRDefault="00B77285" w:rsidP="00B77285">
      <w:pPr>
        <w:jc w:val="center"/>
        <w:rPr>
          <w:b/>
          <w:sz w:val="28"/>
          <w:szCs w:val="28"/>
          <w:lang w:val="uk-UA" w:eastAsia="ar-SA"/>
        </w:rPr>
      </w:pPr>
    </w:p>
    <w:p w:rsidR="00B77285" w:rsidRPr="00B77285" w:rsidRDefault="00B77285" w:rsidP="00B77285">
      <w:pPr>
        <w:pStyle w:val="a9"/>
        <w:numPr>
          <w:ilvl w:val="0"/>
          <w:numId w:val="2"/>
        </w:numPr>
        <w:tabs>
          <w:tab w:val="left" w:pos="284"/>
        </w:tabs>
        <w:spacing w:before="0"/>
        <w:ind w:left="0" w:firstLine="0"/>
        <w:jc w:val="center"/>
        <w:rPr>
          <w:b/>
          <w:sz w:val="28"/>
          <w:szCs w:val="28"/>
        </w:rPr>
      </w:pPr>
      <w:r w:rsidRPr="00B77285">
        <w:rPr>
          <w:b/>
          <w:sz w:val="28"/>
          <w:szCs w:val="28"/>
        </w:rPr>
        <w:t>Загальна частина</w:t>
      </w:r>
    </w:p>
    <w:p w:rsidR="00B77285" w:rsidRPr="00B77285" w:rsidRDefault="00B77285" w:rsidP="00B77285">
      <w:pPr>
        <w:ind w:firstLine="709"/>
        <w:jc w:val="both"/>
        <w:rPr>
          <w:sz w:val="28"/>
          <w:szCs w:val="28"/>
          <w:lang w:val="uk-UA" w:eastAsia="ar-SA"/>
        </w:rPr>
      </w:pPr>
      <w:r w:rsidRPr="00B77285">
        <w:rPr>
          <w:sz w:val="28"/>
          <w:szCs w:val="28"/>
          <w:lang w:val="uk-UA" w:eastAsia="ar-SA"/>
        </w:rPr>
        <w:t>Метою середньострокового бюджетного прогнозування є створення дієвого механізму управління бюджетним процесом, встановлення взаємозв’язку між стратегічними цілями розвитку територіальної громади та можливостями місцевого бюджету у середньостроковій перспективі.</w:t>
      </w:r>
    </w:p>
    <w:p w:rsidR="00B77285" w:rsidRPr="00B77285" w:rsidRDefault="00B77285" w:rsidP="00B77285">
      <w:pPr>
        <w:tabs>
          <w:tab w:val="left" w:pos="851"/>
        </w:tabs>
        <w:ind w:firstLine="709"/>
        <w:jc w:val="both"/>
        <w:rPr>
          <w:sz w:val="28"/>
          <w:szCs w:val="28"/>
          <w:lang w:val="uk-UA"/>
        </w:rPr>
      </w:pPr>
      <w:r w:rsidRPr="00B77285">
        <w:rPr>
          <w:sz w:val="28"/>
          <w:szCs w:val="28"/>
          <w:lang w:val="uk-UA"/>
        </w:rPr>
        <w:t>Прогноз визначає основні напрями дій в середньостроковій перспективі, які сприятимуть досягненню довгострокових стратегічних цілей та є основою для складання головними розпорядниками бюджетних коштів планів своєї діяльності та галузевих програм.</w:t>
      </w:r>
    </w:p>
    <w:p w:rsidR="00B77285" w:rsidRPr="00B77285" w:rsidRDefault="00B77285" w:rsidP="00B77285">
      <w:pPr>
        <w:tabs>
          <w:tab w:val="left" w:pos="851"/>
        </w:tabs>
        <w:ind w:firstLine="709"/>
        <w:jc w:val="both"/>
        <w:rPr>
          <w:sz w:val="28"/>
          <w:szCs w:val="28"/>
          <w:lang w:val="uk-UA"/>
        </w:rPr>
      </w:pPr>
      <w:r w:rsidRPr="00B77285">
        <w:rPr>
          <w:sz w:val="28"/>
          <w:szCs w:val="28"/>
          <w:lang w:val="uk-UA"/>
        </w:rPr>
        <w:t>На середньострокову перспективу в умовах стабілізації національної економіки України основними завданнями  бюджету є:</w:t>
      </w:r>
    </w:p>
    <w:p w:rsidR="00B77285" w:rsidRPr="00B77285" w:rsidRDefault="00B77285" w:rsidP="00B77285">
      <w:pPr>
        <w:pStyle w:val="a8"/>
        <w:numPr>
          <w:ilvl w:val="0"/>
          <w:numId w:val="1"/>
        </w:numPr>
        <w:tabs>
          <w:tab w:val="left" w:pos="851"/>
        </w:tabs>
        <w:ind w:left="0" w:firstLine="709"/>
        <w:rPr>
          <w:szCs w:val="28"/>
        </w:rPr>
      </w:pPr>
      <w:r w:rsidRPr="00B77285">
        <w:rPr>
          <w:szCs w:val="28"/>
        </w:rPr>
        <w:t>зростання дохідної частини бюджету за рахунок активізації підприємницького потенціалу, підвищення податкоспроможності, зниження частки тіньової економіки, збільшення фонду оплати праці працівників підприємств, установ, організацій;</w:t>
      </w:r>
    </w:p>
    <w:p w:rsidR="00B77285" w:rsidRPr="00B77285" w:rsidRDefault="00B77285" w:rsidP="00B77285">
      <w:pPr>
        <w:pStyle w:val="a8"/>
        <w:numPr>
          <w:ilvl w:val="0"/>
          <w:numId w:val="1"/>
        </w:numPr>
        <w:tabs>
          <w:tab w:val="left" w:pos="851"/>
        </w:tabs>
        <w:ind w:left="0" w:firstLine="709"/>
        <w:rPr>
          <w:szCs w:val="28"/>
        </w:rPr>
      </w:pPr>
      <w:r w:rsidRPr="00B77285">
        <w:rPr>
          <w:szCs w:val="28"/>
        </w:rPr>
        <w:t>залучення інвестицій в громаді;</w:t>
      </w:r>
    </w:p>
    <w:p w:rsidR="00B77285" w:rsidRPr="00B77285" w:rsidRDefault="00B77285" w:rsidP="00B77285">
      <w:pPr>
        <w:pStyle w:val="a8"/>
        <w:numPr>
          <w:ilvl w:val="0"/>
          <w:numId w:val="1"/>
        </w:numPr>
        <w:tabs>
          <w:tab w:val="left" w:pos="851"/>
        </w:tabs>
        <w:ind w:left="0" w:firstLine="709"/>
        <w:outlineLvl w:val="2"/>
        <w:rPr>
          <w:szCs w:val="28"/>
          <w:lang w:eastAsia="uk-UA"/>
        </w:rPr>
      </w:pPr>
      <w:r w:rsidRPr="00B77285">
        <w:rPr>
          <w:szCs w:val="28"/>
        </w:rPr>
        <w:t>підвищення результативності та ефективності бюджетних видатків</w:t>
      </w:r>
      <w:r w:rsidRPr="00B77285">
        <w:rPr>
          <w:szCs w:val="28"/>
          <w:lang w:eastAsia="uk-UA"/>
        </w:rPr>
        <w:t xml:space="preserve"> шляхом застосування дієвих методів економії бюджетних коштів, здійснення</w:t>
      </w:r>
      <w:r w:rsidRPr="00B77285">
        <w:rPr>
          <w:rFonts w:eastAsia="Calibri"/>
          <w:szCs w:val="28"/>
          <w:lang w:eastAsia="en-US"/>
        </w:rPr>
        <w:t xml:space="preserve"> оптимізації витрат головних розпорядників бюджетних коштів шляхом виключення непріоритетних та неефективних витрат </w:t>
      </w:r>
      <w:r w:rsidRPr="00B77285">
        <w:rPr>
          <w:szCs w:val="28"/>
          <w:lang w:eastAsia="uk-UA"/>
        </w:rPr>
        <w:t>та подальшої оптимізації бюджетних програм;</w:t>
      </w:r>
    </w:p>
    <w:p w:rsidR="00B77285" w:rsidRPr="00B77285" w:rsidRDefault="00B77285" w:rsidP="00B77285">
      <w:pPr>
        <w:pStyle w:val="a8"/>
        <w:numPr>
          <w:ilvl w:val="0"/>
          <w:numId w:val="1"/>
        </w:numPr>
        <w:tabs>
          <w:tab w:val="left" w:pos="851"/>
        </w:tabs>
        <w:ind w:left="0" w:firstLine="709"/>
        <w:rPr>
          <w:szCs w:val="28"/>
        </w:rPr>
      </w:pPr>
      <w:r w:rsidRPr="00B77285">
        <w:rPr>
          <w:szCs w:val="28"/>
        </w:rPr>
        <w:t>підвищення рівня прозорості та раціональності бюджетного процесу, посилення бюджетної дисципліни та контролю за витратами бюджету;</w:t>
      </w:r>
    </w:p>
    <w:p w:rsidR="00B77285" w:rsidRPr="00B77285" w:rsidRDefault="00B77285" w:rsidP="00B77285">
      <w:pPr>
        <w:pStyle w:val="a8"/>
        <w:numPr>
          <w:ilvl w:val="0"/>
          <w:numId w:val="1"/>
        </w:numPr>
        <w:tabs>
          <w:tab w:val="left" w:pos="851"/>
        </w:tabs>
        <w:ind w:left="0" w:firstLine="709"/>
        <w:rPr>
          <w:szCs w:val="28"/>
        </w:rPr>
      </w:pPr>
      <w:r w:rsidRPr="00B77285">
        <w:rPr>
          <w:szCs w:val="28"/>
        </w:rPr>
        <w:t>удосконалення системи результативних показників з метою підвищення якості надання послуг у відповідних сферах;</w:t>
      </w:r>
    </w:p>
    <w:p w:rsidR="00B77285" w:rsidRPr="00B77285" w:rsidRDefault="00B77285" w:rsidP="00B77285">
      <w:pPr>
        <w:tabs>
          <w:tab w:val="left" w:pos="851"/>
        </w:tabs>
        <w:ind w:firstLine="709"/>
        <w:jc w:val="both"/>
        <w:outlineLvl w:val="2"/>
        <w:rPr>
          <w:sz w:val="28"/>
          <w:szCs w:val="28"/>
          <w:lang w:val="uk-UA" w:eastAsia="uk-UA"/>
        </w:rPr>
      </w:pPr>
      <w:r w:rsidRPr="00B77285">
        <w:rPr>
          <w:sz w:val="28"/>
          <w:szCs w:val="28"/>
          <w:lang w:val="uk-UA" w:eastAsia="uk-UA"/>
        </w:rPr>
        <w:t>Прогноз базується на принципах збалансованості, обґрунтованості, ефективності та результативності.</w:t>
      </w:r>
    </w:p>
    <w:p w:rsidR="00B77285" w:rsidRPr="00B77285" w:rsidRDefault="00B77285" w:rsidP="00B77285">
      <w:pPr>
        <w:tabs>
          <w:tab w:val="left" w:pos="851"/>
        </w:tabs>
        <w:ind w:firstLine="709"/>
        <w:jc w:val="both"/>
        <w:outlineLvl w:val="2"/>
        <w:rPr>
          <w:sz w:val="28"/>
          <w:szCs w:val="28"/>
          <w:lang w:val="uk-UA" w:eastAsia="uk-UA"/>
        </w:rPr>
      </w:pPr>
      <w:r w:rsidRPr="00B77285">
        <w:rPr>
          <w:sz w:val="28"/>
          <w:szCs w:val="28"/>
          <w:lang w:val="uk-UA" w:eastAsia="uk-UA"/>
        </w:rPr>
        <w:t>Прогноз включає індикативні прогнозні показники бюджету за основними видами доходів, фінансування, видатків і кредитування за бюджетними програмами, які забезпечують протягом декількох років виконання інвестиційних проєктів, взаємовідносин з іншими бюджетами.</w:t>
      </w:r>
    </w:p>
    <w:p w:rsidR="00B77285" w:rsidRPr="00B77285" w:rsidRDefault="00B77285" w:rsidP="00B77285">
      <w:pPr>
        <w:ind w:firstLine="1134"/>
        <w:jc w:val="both"/>
        <w:rPr>
          <w:sz w:val="28"/>
          <w:szCs w:val="28"/>
          <w:lang w:val="uk-UA" w:eastAsia="ar-SA"/>
        </w:rPr>
      </w:pPr>
    </w:p>
    <w:p w:rsidR="00B77285" w:rsidRDefault="00B77285" w:rsidP="00B77285">
      <w:pPr>
        <w:jc w:val="center"/>
        <w:rPr>
          <w:b/>
          <w:bCs/>
          <w:sz w:val="28"/>
          <w:szCs w:val="28"/>
          <w:lang w:val="uk-UA" w:eastAsia="uk-UA"/>
        </w:rPr>
      </w:pPr>
    </w:p>
    <w:p w:rsidR="00B77285" w:rsidRDefault="00B77285" w:rsidP="00B77285">
      <w:pPr>
        <w:jc w:val="center"/>
        <w:rPr>
          <w:b/>
          <w:bCs/>
          <w:sz w:val="28"/>
          <w:szCs w:val="28"/>
          <w:lang w:val="uk-UA" w:eastAsia="uk-UA"/>
        </w:rPr>
      </w:pPr>
    </w:p>
    <w:p w:rsidR="00B77285" w:rsidRPr="00B77285" w:rsidRDefault="00B77285" w:rsidP="00B77285">
      <w:pPr>
        <w:jc w:val="center"/>
        <w:rPr>
          <w:b/>
          <w:bCs/>
          <w:sz w:val="28"/>
          <w:szCs w:val="28"/>
          <w:lang w:val="uk-UA" w:eastAsia="uk-UA"/>
        </w:rPr>
      </w:pPr>
      <w:r w:rsidRPr="00B77285">
        <w:rPr>
          <w:b/>
          <w:bCs/>
          <w:sz w:val="28"/>
          <w:szCs w:val="28"/>
          <w:lang w:val="uk-UA" w:eastAsia="uk-UA"/>
        </w:rPr>
        <w:lastRenderedPageBreak/>
        <w:t xml:space="preserve">2. Основні прогнозні показники </w:t>
      </w:r>
    </w:p>
    <w:p w:rsidR="00B77285" w:rsidRPr="00B77285" w:rsidRDefault="00B77285" w:rsidP="00B77285">
      <w:pPr>
        <w:jc w:val="center"/>
        <w:rPr>
          <w:b/>
          <w:bCs/>
          <w:sz w:val="28"/>
          <w:szCs w:val="28"/>
          <w:lang w:val="uk-UA" w:eastAsia="uk-UA"/>
        </w:rPr>
      </w:pPr>
      <w:r w:rsidRPr="00B77285">
        <w:rPr>
          <w:b/>
          <w:bCs/>
          <w:sz w:val="28"/>
          <w:szCs w:val="28"/>
          <w:lang w:val="uk-UA" w:eastAsia="uk-UA"/>
        </w:rPr>
        <w:t xml:space="preserve">економічного і соціального розвитку Великосеверинівської </w:t>
      </w:r>
    </w:p>
    <w:p w:rsidR="00B77285" w:rsidRPr="00B77285" w:rsidRDefault="00B77285" w:rsidP="00B77285">
      <w:pPr>
        <w:jc w:val="center"/>
        <w:rPr>
          <w:b/>
          <w:bCs/>
          <w:sz w:val="28"/>
          <w:szCs w:val="28"/>
          <w:lang w:val="uk-UA" w:eastAsia="uk-UA"/>
        </w:rPr>
      </w:pPr>
      <w:r w:rsidRPr="00B77285">
        <w:rPr>
          <w:b/>
          <w:bCs/>
          <w:sz w:val="28"/>
          <w:szCs w:val="28"/>
          <w:lang w:val="uk-UA" w:eastAsia="uk-UA"/>
        </w:rPr>
        <w:t>територіальної громади у 2022-2024 роках</w:t>
      </w:r>
    </w:p>
    <w:p w:rsidR="00B77285" w:rsidRPr="00B77285" w:rsidRDefault="00B77285" w:rsidP="00B77285">
      <w:pPr>
        <w:ind w:firstLine="709"/>
        <w:jc w:val="both"/>
        <w:rPr>
          <w:sz w:val="28"/>
          <w:szCs w:val="28"/>
          <w:lang w:val="uk-UA"/>
        </w:rPr>
      </w:pPr>
      <w:r w:rsidRPr="00B77285">
        <w:rPr>
          <w:sz w:val="28"/>
          <w:szCs w:val="28"/>
          <w:lang w:val="uk-UA"/>
        </w:rPr>
        <w:t>Економічну активність на території Великосеверинівської територіальної громади виявляють суб’єкти господарської діяльності юридичні особи та фізичні особи-підприємці.</w:t>
      </w:r>
    </w:p>
    <w:p w:rsidR="00B77285" w:rsidRPr="00B77285" w:rsidRDefault="00B77285" w:rsidP="00B77285">
      <w:pPr>
        <w:ind w:firstLine="709"/>
        <w:jc w:val="both"/>
        <w:rPr>
          <w:sz w:val="28"/>
          <w:szCs w:val="28"/>
          <w:lang w:val="uk-UA"/>
        </w:rPr>
      </w:pPr>
      <w:r w:rsidRPr="00B77285">
        <w:rPr>
          <w:sz w:val="28"/>
          <w:szCs w:val="28"/>
          <w:lang w:val="uk-UA"/>
        </w:rPr>
        <w:t>Визначну роль у формуванні бюджету відіграють зареєстровані на території Великосеверинівської територіальної громади суб’єкти господарської діяльності.</w:t>
      </w:r>
    </w:p>
    <w:p w:rsidR="00B77285" w:rsidRPr="00B77285" w:rsidRDefault="00B77285" w:rsidP="00B77285">
      <w:pPr>
        <w:ind w:firstLine="709"/>
        <w:jc w:val="both"/>
        <w:rPr>
          <w:sz w:val="28"/>
          <w:szCs w:val="28"/>
          <w:lang w:val="uk-UA"/>
        </w:rPr>
      </w:pPr>
      <w:r w:rsidRPr="00B77285">
        <w:rPr>
          <w:sz w:val="28"/>
          <w:szCs w:val="28"/>
          <w:lang w:val="uk-UA"/>
        </w:rPr>
        <w:t>Станом на 01.01.2021 рік зареєстровано 464 суб’єктів господарської діяльності, з них:</w:t>
      </w:r>
      <w:r w:rsidRPr="00B77285">
        <w:rPr>
          <w:bCs/>
          <w:sz w:val="28"/>
          <w:szCs w:val="28"/>
          <w:lang w:val="uk-UA"/>
        </w:rPr>
        <w:t xml:space="preserve">малі підприємства – 3; </w:t>
      </w:r>
      <w:r w:rsidRPr="00B77285">
        <w:rPr>
          <w:sz w:val="28"/>
          <w:szCs w:val="28"/>
          <w:lang w:val="uk-UA"/>
        </w:rPr>
        <w:t>фізичні особи – підприємці 180;  юридичні особи -71; особисті селянські господарства –126.</w:t>
      </w:r>
    </w:p>
    <w:p w:rsidR="00B77285" w:rsidRPr="00B77285" w:rsidRDefault="00B77285" w:rsidP="00B77285">
      <w:pPr>
        <w:ind w:firstLine="709"/>
        <w:jc w:val="both"/>
        <w:rPr>
          <w:sz w:val="28"/>
          <w:szCs w:val="28"/>
          <w:lang w:val="uk-UA"/>
        </w:rPr>
      </w:pPr>
      <w:r w:rsidRPr="00B77285">
        <w:rPr>
          <w:sz w:val="28"/>
          <w:szCs w:val="28"/>
          <w:lang w:val="uk-UA"/>
        </w:rPr>
        <w:t xml:space="preserve">Малий та середній бізнес, який діє на території громади перетворюється на важливий сектор економіки, який забезпечує населення необхідними товарами та послугами, а також забезпечує зайнятість населення та суттєво впливає на формування дохідної частини бюджету сільської ради. </w:t>
      </w:r>
    </w:p>
    <w:p w:rsidR="00B77285" w:rsidRPr="00B77285" w:rsidRDefault="00B77285" w:rsidP="00B77285">
      <w:pPr>
        <w:ind w:firstLine="709"/>
        <w:jc w:val="both"/>
        <w:rPr>
          <w:sz w:val="28"/>
          <w:szCs w:val="28"/>
          <w:lang w:val="uk-UA"/>
        </w:rPr>
      </w:pPr>
      <w:r w:rsidRPr="00B77285">
        <w:rPr>
          <w:sz w:val="28"/>
          <w:szCs w:val="28"/>
          <w:lang w:val="uk-UA"/>
        </w:rPr>
        <w:t xml:space="preserve">Серед представників малого бізнесу достатньо розвинений такий сектор економіки, як торгівля: змішана, продовольчими та непродовольчими товарами тощо. </w:t>
      </w:r>
    </w:p>
    <w:p w:rsidR="00B77285" w:rsidRPr="00B77285" w:rsidRDefault="00B77285" w:rsidP="00B77285">
      <w:pPr>
        <w:ind w:firstLine="709"/>
        <w:jc w:val="both"/>
        <w:rPr>
          <w:sz w:val="28"/>
          <w:szCs w:val="28"/>
          <w:lang w:val="uk-UA"/>
        </w:rPr>
      </w:pPr>
      <w:r w:rsidRPr="00B77285">
        <w:rPr>
          <w:sz w:val="28"/>
          <w:szCs w:val="28"/>
          <w:lang w:val="uk-UA"/>
        </w:rPr>
        <w:t>На території громади зареєстровано 24 місцевих суб’єктів господарювання, які займаються змішаною, продовольчою та непродовольчою  торгівлею.</w:t>
      </w:r>
    </w:p>
    <w:p w:rsidR="00B77285" w:rsidRPr="00B77285" w:rsidRDefault="00B77285" w:rsidP="00B77285">
      <w:pPr>
        <w:ind w:firstLine="709"/>
        <w:jc w:val="both"/>
        <w:rPr>
          <w:color w:val="000000"/>
          <w:sz w:val="28"/>
          <w:szCs w:val="28"/>
          <w:lang w:val="uk-UA" w:eastAsia="uk-UA"/>
        </w:rPr>
      </w:pPr>
      <w:r w:rsidRPr="00B77285">
        <w:rPr>
          <w:sz w:val="28"/>
          <w:szCs w:val="28"/>
          <w:lang w:val="uk-UA"/>
        </w:rPr>
        <w:t xml:space="preserve">Натомість, спеціалізацію громади становить агропромисловий сектор, що забезпечує високий внесок у формування місцевого бюджету, так в 2020 році </w:t>
      </w:r>
      <w:r w:rsidRPr="00B77285">
        <w:rPr>
          <w:color w:val="000000"/>
          <w:sz w:val="28"/>
          <w:szCs w:val="28"/>
          <w:lang w:val="uk-UA" w:eastAsia="uk-UA"/>
        </w:rPr>
        <w:t>поповнення бюджету тільки по сплаті єдиного податку становило - 4 644 116 гривень.</w:t>
      </w:r>
    </w:p>
    <w:p w:rsidR="00B77285" w:rsidRPr="00B77285" w:rsidRDefault="00B77285" w:rsidP="00B77285">
      <w:pPr>
        <w:tabs>
          <w:tab w:val="left" w:pos="720"/>
          <w:tab w:val="left" w:pos="2880"/>
        </w:tabs>
        <w:autoSpaceDE w:val="0"/>
        <w:autoSpaceDN w:val="0"/>
        <w:adjustRightInd w:val="0"/>
        <w:ind w:firstLine="709"/>
        <w:jc w:val="both"/>
        <w:outlineLvl w:val="0"/>
        <w:rPr>
          <w:color w:val="000000"/>
          <w:sz w:val="28"/>
          <w:szCs w:val="28"/>
          <w:lang w:val="uk-UA"/>
        </w:rPr>
      </w:pPr>
      <w:r w:rsidRPr="00B77285">
        <w:rPr>
          <w:sz w:val="28"/>
          <w:szCs w:val="28"/>
          <w:lang w:val="uk-UA" w:eastAsia="uk-UA"/>
        </w:rPr>
        <w:t xml:space="preserve">Найбільшими платники ПДФО, що сплачується податковими агентами, </w:t>
      </w:r>
      <w:proofErr w:type="spellStart"/>
      <w:r w:rsidRPr="00B77285">
        <w:rPr>
          <w:sz w:val="28"/>
          <w:szCs w:val="28"/>
          <w:lang w:val="uk-UA" w:eastAsia="uk-UA"/>
        </w:rPr>
        <w:t>iз</w:t>
      </w:r>
      <w:proofErr w:type="spellEnd"/>
      <w:r w:rsidRPr="00B77285">
        <w:rPr>
          <w:sz w:val="28"/>
          <w:szCs w:val="28"/>
          <w:lang w:val="uk-UA" w:eastAsia="uk-UA"/>
        </w:rPr>
        <w:t xml:space="preserve"> </w:t>
      </w:r>
      <w:proofErr w:type="spellStart"/>
      <w:r w:rsidRPr="00B77285">
        <w:rPr>
          <w:sz w:val="28"/>
          <w:szCs w:val="28"/>
          <w:lang w:val="uk-UA" w:eastAsia="uk-UA"/>
        </w:rPr>
        <w:t>доходiв</w:t>
      </w:r>
      <w:proofErr w:type="spellEnd"/>
      <w:r w:rsidRPr="00B77285">
        <w:rPr>
          <w:sz w:val="28"/>
          <w:szCs w:val="28"/>
          <w:lang w:val="uk-UA" w:eastAsia="uk-UA"/>
        </w:rPr>
        <w:t xml:space="preserve"> платника податку у </w:t>
      </w:r>
      <w:proofErr w:type="spellStart"/>
      <w:r w:rsidRPr="00B77285">
        <w:rPr>
          <w:sz w:val="28"/>
          <w:szCs w:val="28"/>
          <w:lang w:val="uk-UA" w:eastAsia="uk-UA"/>
        </w:rPr>
        <w:t>виглядi</w:t>
      </w:r>
      <w:proofErr w:type="spellEnd"/>
      <w:r w:rsidRPr="00B77285">
        <w:rPr>
          <w:sz w:val="28"/>
          <w:szCs w:val="28"/>
          <w:lang w:val="uk-UA" w:eastAsia="uk-UA"/>
        </w:rPr>
        <w:t xml:space="preserve"> </w:t>
      </w:r>
      <w:proofErr w:type="spellStart"/>
      <w:r w:rsidRPr="00B77285">
        <w:rPr>
          <w:sz w:val="28"/>
          <w:szCs w:val="28"/>
          <w:lang w:val="uk-UA" w:eastAsia="uk-UA"/>
        </w:rPr>
        <w:t>заробiтної</w:t>
      </w:r>
      <w:proofErr w:type="spellEnd"/>
      <w:r w:rsidRPr="00B77285">
        <w:rPr>
          <w:sz w:val="28"/>
          <w:szCs w:val="28"/>
          <w:lang w:val="uk-UA" w:eastAsia="uk-UA"/>
        </w:rPr>
        <w:t xml:space="preserve"> плати є:</w:t>
      </w:r>
      <w:r w:rsidRPr="00B77285">
        <w:rPr>
          <w:color w:val="000000"/>
          <w:sz w:val="28"/>
          <w:szCs w:val="28"/>
          <w:lang w:val="uk-UA"/>
        </w:rPr>
        <w:t>ТОВ "</w:t>
      </w:r>
      <w:proofErr w:type="spellStart"/>
      <w:r w:rsidRPr="00B77285">
        <w:rPr>
          <w:color w:val="000000"/>
          <w:sz w:val="28"/>
          <w:szCs w:val="28"/>
          <w:lang w:val="uk-UA"/>
        </w:rPr>
        <w:t>Ландтех</w:t>
      </w:r>
      <w:proofErr w:type="spellEnd"/>
      <w:r w:rsidRPr="00B77285">
        <w:rPr>
          <w:color w:val="000000"/>
          <w:sz w:val="28"/>
          <w:szCs w:val="28"/>
          <w:lang w:val="uk-UA"/>
        </w:rPr>
        <w:t xml:space="preserve">" – 13,96% частка від загального обсягу надходжень, ТОВ АК ФАВОРИТ- 12,89%; </w:t>
      </w:r>
      <w:proofErr w:type="spellStart"/>
      <w:r w:rsidRPr="00B77285">
        <w:rPr>
          <w:color w:val="000000"/>
          <w:sz w:val="28"/>
          <w:szCs w:val="28"/>
          <w:lang w:val="uk-UA"/>
        </w:rPr>
        <w:t>ДП</w:t>
      </w:r>
      <w:proofErr w:type="spellEnd"/>
      <w:r w:rsidRPr="00B77285">
        <w:rPr>
          <w:color w:val="000000"/>
          <w:sz w:val="28"/>
          <w:szCs w:val="28"/>
          <w:lang w:val="uk-UA"/>
        </w:rPr>
        <w:t xml:space="preserve"> </w:t>
      </w:r>
      <w:proofErr w:type="spellStart"/>
      <w:r w:rsidRPr="00B77285">
        <w:rPr>
          <w:color w:val="000000"/>
          <w:sz w:val="28"/>
          <w:szCs w:val="28"/>
          <w:lang w:val="uk-UA"/>
        </w:rPr>
        <w:t>ДГ</w:t>
      </w:r>
      <w:proofErr w:type="spellEnd"/>
      <w:r w:rsidRPr="00B77285">
        <w:rPr>
          <w:color w:val="000000"/>
          <w:sz w:val="28"/>
          <w:szCs w:val="28"/>
          <w:lang w:val="uk-UA"/>
        </w:rPr>
        <w:t xml:space="preserve"> "Елітне" ІСГС НААН – 8,32%.</w:t>
      </w:r>
    </w:p>
    <w:p w:rsidR="00B77285" w:rsidRPr="00B77285" w:rsidRDefault="00B77285" w:rsidP="00B77285">
      <w:pPr>
        <w:pStyle w:val="a3"/>
        <w:ind w:firstLine="709"/>
        <w:jc w:val="both"/>
        <w:rPr>
          <w:sz w:val="28"/>
          <w:szCs w:val="28"/>
        </w:rPr>
      </w:pPr>
      <w:r w:rsidRPr="00B77285">
        <w:rPr>
          <w:sz w:val="28"/>
          <w:szCs w:val="28"/>
        </w:rPr>
        <w:t xml:space="preserve">У структурі сільськогосподарського виробництва здійснюють діяльність </w:t>
      </w:r>
      <w:r w:rsidRPr="00B77285">
        <w:rPr>
          <w:sz w:val="28"/>
          <w:szCs w:val="28"/>
        </w:rPr>
        <w:br/>
        <w:t>ФГ Мельниченко Ю.О., ФГ</w:t>
      </w:r>
      <w:r>
        <w:rPr>
          <w:sz w:val="28"/>
          <w:szCs w:val="28"/>
        </w:rPr>
        <w:t xml:space="preserve"> </w:t>
      </w:r>
      <w:r w:rsidRPr="00B77285">
        <w:rPr>
          <w:sz w:val="28"/>
          <w:szCs w:val="28"/>
        </w:rPr>
        <w:t>"</w:t>
      </w:r>
      <w:proofErr w:type="spellStart"/>
      <w:r w:rsidRPr="00B77285">
        <w:rPr>
          <w:sz w:val="28"/>
          <w:szCs w:val="28"/>
        </w:rPr>
        <w:t>Інгульське</w:t>
      </w:r>
      <w:proofErr w:type="spellEnd"/>
      <w:r w:rsidRPr="00B77285">
        <w:rPr>
          <w:sz w:val="28"/>
          <w:szCs w:val="28"/>
        </w:rPr>
        <w:t xml:space="preserve">-2009", ФГ "Фортуна 2008", </w:t>
      </w:r>
      <w:r w:rsidRPr="00B77285">
        <w:rPr>
          <w:sz w:val="28"/>
          <w:szCs w:val="28"/>
        </w:rPr>
        <w:br/>
        <w:t>ФГ "</w:t>
      </w:r>
      <w:proofErr w:type="spellStart"/>
      <w:r w:rsidRPr="00B77285">
        <w:rPr>
          <w:sz w:val="28"/>
          <w:szCs w:val="28"/>
        </w:rPr>
        <w:t>Маліцький</w:t>
      </w:r>
      <w:proofErr w:type="spellEnd"/>
      <w:r w:rsidRPr="00B77285">
        <w:rPr>
          <w:sz w:val="28"/>
          <w:szCs w:val="28"/>
        </w:rPr>
        <w:t xml:space="preserve"> В.В.", ФГ </w:t>
      </w:r>
      <w:proofErr w:type="spellStart"/>
      <w:r w:rsidRPr="00B77285">
        <w:rPr>
          <w:sz w:val="28"/>
          <w:szCs w:val="28"/>
        </w:rPr>
        <w:t>Данов</w:t>
      </w:r>
      <w:proofErr w:type="spellEnd"/>
      <w:r w:rsidRPr="00B77285">
        <w:rPr>
          <w:sz w:val="28"/>
          <w:szCs w:val="28"/>
        </w:rPr>
        <w:t xml:space="preserve"> Т.М., ФГ "Рідний Край", </w:t>
      </w:r>
      <w:proofErr w:type="spellStart"/>
      <w:r w:rsidRPr="00B77285">
        <w:rPr>
          <w:sz w:val="28"/>
          <w:szCs w:val="28"/>
        </w:rPr>
        <w:t>ПРАТ</w:t>
      </w:r>
      <w:proofErr w:type="spellEnd"/>
      <w:r w:rsidRPr="00B77285">
        <w:rPr>
          <w:sz w:val="28"/>
          <w:szCs w:val="28"/>
        </w:rPr>
        <w:t xml:space="preserve"> "СГ Надія-Нова", </w:t>
      </w:r>
      <w:proofErr w:type="spellStart"/>
      <w:r w:rsidRPr="00B77285">
        <w:rPr>
          <w:sz w:val="28"/>
          <w:szCs w:val="28"/>
        </w:rPr>
        <w:t>СТОВ</w:t>
      </w:r>
      <w:proofErr w:type="spellEnd"/>
      <w:r w:rsidRPr="00B77285">
        <w:rPr>
          <w:sz w:val="28"/>
          <w:szCs w:val="28"/>
        </w:rPr>
        <w:t xml:space="preserve"> </w:t>
      </w:r>
      <w:proofErr w:type="spellStart"/>
      <w:r w:rsidRPr="00B77285">
        <w:rPr>
          <w:sz w:val="28"/>
          <w:szCs w:val="28"/>
        </w:rPr>
        <w:t>ім.Фрунзе</w:t>
      </w:r>
      <w:proofErr w:type="spellEnd"/>
      <w:r w:rsidRPr="00B77285">
        <w:rPr>
          <w:sz w:val="28"/>
          <w:szCs w:val="28"/>
        </w:rPr>
        <w:t>, ФГ Гусак В.М. та інші. Домінуючим напрямком виробництва є рослинництво.</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За січень-червень 2021р. до бюджету надійшла рентна плата та плата </w:t>
      </w:r>
      <w:r w:rsidRPr="00B77285">
        <w:rPr>
          <w:sz w:val="28"/>
          <w:szCs w:val="28"/>
          <w:lang w:val="uk-UA" w:eastAsia="uk-UA"/>
        </w:rPr>
        <w:br/>
        <w:t xml:space="preserve">за використання інших природних ресурсів від платників цього </w:t>
      </w:r>
      <w:r w:rsidRPr="00B77285">
        <w:rPr>
          <w:sz w:val="28"/>
          <w:szCs w:val="28"/>
          <w:lang w:val="uk-UA" w:eastAsia="uk-UA"/>
        </w:rPr>
        <w:br/>
        <w:t>податку – 4 юридичні особи (</w:t>
      </w:r>
      <w:proofErr w:type="spellStart"/>
      <w:r w:rsidRPr="00B77285">
        <w:rPr>
          <w:sz w:val="28"/>
          <w:szCs w:val="28"/>
          <w:lang w:val="uk-UA" w:eastAsia="uk-UA"/>
        </w:rPr>
        <w:t>ДП</w:t>
      </w:r>
      <w:proofErr w:type="spellEnd"/>
      <w:r w:rsidRPr="00B77285">
        <w:rPr>
          <w:sz w:val="28"/>
          <w:szCs w:val="28"/>
          <w:lang w:val="uk-UA" w:eastAsia="uk-UA"/>
        </w:rPr>
        <w:t xml:space="preserve"> "КОМПАНІЇВСЬКИЙ ЛІСГОСП" та ТОВ "СП "АВТОСТРАДА", </w:t>
      </w:r>
      <w:proofErr w:type="spellStart"/>
      <w:r w:rsidRPr="00B77285">
        <w:rPr>
          <w:sz w:val="28"/>
          <w:szCs w:val="28"/>
          <w:lang w:val="uk-UA" w:eastAsia="uk-UA"/>
        </w:rPr>
        <w:t>ПІІ</w:t>
      </w:r>
      <w:proofErr w:type="spellEnd"/>
      <w:r w:rsidRPr="00B77285">
        <w:rPr>
          <w:sz w:val="28"/>
          <w:szCs w:val="28"/>
          <w:lang w:val="uk-UA" w:eastAsia="uk-UA"/>
        </w:rPr>
        <w:t xml:space="preserve"> "АМІК УКРАЇНА", </w:t>
      </w:r>
      <w:proofErr w:type="spellStart"/>
      <w:r w:rsidRPr="00B77285">
        <w:rPr>
          <w:sz w:val="28"/>
          <w:szCs w:val="28"/>
          <w:lang w:val="uk-UA" w:eastAsia="uk-UA"/>
        </w:rPr>
        <w:t>ДП</w:t>
      </w:r>
      <w:proofErr w:type="spellEnd"/>
      <w:r w:rsidRPr="00B77285">
        <w:rPr>
          <w:sz w:val="28"/>
          <w:szCs w:val="28"/>
          <w:lang w:val="uk-UA" w:eastAsia="uk-UA"/>
        </w:rPr>
        <w:t xml:space="preserve"> </w:t>
      </w:r>
      <w:proofErr w:type="spellStart"/>
      <w:r w:rsidRPr="00B77285">
        <w:rPr>
          <w:sz w:val="28"/>
          <w:szCs w:val="28"/>
          <w:lang w:val="uk-UA" w:eastAsia="uk-UA"/>
        </w:rPr>
        <w:t>ДГ</w:t>
      </w:r>
      <w:proofErr w:type="spellEnd"/>
      <w:r w:rsidRPr="00B77285">
        <w:rPr>
          <w:sz w:val="28"/>
          <w:szCs w:val="28"/>
          <w:lang w:val="uk-UA" w:eastAsia="uk-UA"/>
        </w:rPr>
        <w:t xml:space="preserve"> "Елітне" ІСГС НААН);</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Значний обсяг надходжень надійшло від акцизного податку так при плані 2 326 843,00 грн. фактично надійшло 3 168834,35 грн. виконання 136,19%. Перевиконання податку складає 841 991,35 грн.  </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В розрізі податку: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lastRenderedPageBreak/>
        <w:t>-</w:t>
      </w:r>
      <w:r>
        <w:rPr>
          <w:sz w:val="28"/>
          <w:szCs w:val="28"/>
          <w:lang w:val="uk-UA" w:eastAsia="uk-UA"/>
        </w:rPr>
        <w:t xml:space="preserve"> </w:t>
      </w:r>
      <w:r w:rsidRPr="00B77285">
        <w:rPr>
          <w:sz w:val="28"/>
          <w:szCs w:val="28"/>
          <w:lang w:val="uk-UA" w:eastAsia="uk-UA"/>
        </w:rPr>
        <w:t xml:space="preserve">акцизний податок з вироблених в Україні підакцизних товарів (продукції) (відповідно до Закону України «Про внесення змін до бюджетного кодексу України» до пункту 43-1 розділу УІ «Прикінцеві та перехідні положення» Бюджетного кодексу України, згідно з яким у 2019-2020 роках, як виняток з пунктів 7 та 8 частини другої статті 29 цього кодексу, 13,44 відсотки акцизного податку зараховується до загального фонду сільського бюджету у порядку, визначеному Кабінетом міністрів України автоматично). При плані 473 559,00 грн надійшло 656 601,04 грн, виконання – 138,65%. Причиною збільшення надходжень на 183 042,04 грн є збільшення обсягу реалізованого суб’єктами господарювання роздрібної торгівлі пального на відповідній території за друге півріччя 2020 року. </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w:t>
      </w:r>
      <w:r>
        <w:rPr>
          <w:sz w:val="28"/>
          <w:szCs w:val="28"/>
          <w:lang w:val="uk-UA" w:eastAsia="uk-UA"/>
        </w:rPr>
        <w:t xml:space="preserve"> </w:t>
      </w:r>
      <w:r w:rsidRPr="00B77285">
        <w:rPr>
          <w:sz w:val="28"/>
          <w:szCs w:val="28"/>
          <w:lang w:val="uk-UA" w:eastAsia="uk-UA"/>
        </w:rPr>
        <w:t xml:space="preserve">акцизний податок з ввезених на митну територію України підакцизних товарів (продукції) (відповідно до Закону України «Про внесення змін до бюджетного кодексу України» до пункту 43-1 розділу УІ «Прикінцеві та перехідні положення» Бюджетного кодексу України, згідно з яким у 2019-2020 роках, як виняток з пунктів 7 та 8 частини другої статті 29 цього кодексу, 13,44 відсотки акцизного податку зараховується до загального фонду сільського бюджету у порядку, визначеному Кабінетом міністрів України автоматично). При плані 1 625 659,00 грн надійшло 2 229 941,57грн, виконання – 137,17%. Причиною збільшення надходжень на 604 282,57 грн є збільшення обсягу реалізованого суб’єктами господарювання роздрібної торгівлі пального на відповідній території за друге півріччя 2020 року. </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w:t>
      </w:r>
      <w:r>
        <w:rPr>
          <w:sz w:val="28"/>
          <w:szCs w:val="28"/>
          <w:lang w:val="uk-UA" w:eastAsia="uk-UA"/>
        </w:rPr>
        <w:t xml:space="preserve"> </w:t>
      </w:r>
      <w:r w:rsidRPr="00B77285">
        <w:rPr>
          <w:sz w:val="28"/>
          <w:szCs w:val="28"/>
          <w:lang w:val="uk-UA" w:eastAsia="uk-UA"/>
        </w:rPr>
        <w:t xml:space="preserve">акцизний податок з реалізації суб’єктами господарювання роздрібної торгівлі підакцизних товарів, а саме: пива, алкогольних напоїв, тютюнових виробів, тютюну та промислових замінників тютюну. При плані 227 625,00 грн надійшло 282 291,74 грн, виконання – 124,02 %. Причиною перевиконання надходжень в сумі 54 666,74 грн є збільшення обсягу роздрібного товарообороту суб’єктами господарювання. </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У 1 півріччі 2021 року сума доходів місцевого бюджету від надходжень єдиного податку склала 3 346 146,31 грн, що становить 18,88% від усієї суми доходів загального фонду місцевого бюджету. Слід зазначити, що у розрізі платників структура наступна:</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фізичними особами-підприємцями перераховано до місцевого бюджету 1 703 416,98 грн єдиного податку (або 50,9 % від його загальної суми єдиного податку,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юридичними особами перераховано – 126 372,16грн (або 3,8 % від його загальної суми єдиного податку, що надійшла до місцевого бюджету </w:t>
      </w:r>
      <w:r w:rsidRPr="00B77285">
        <w:rPr>
          <w:sz w:val="28"/>
          <w:szCs w:val="28"/>
          <w:lang w:val="uk-UA" w:eastAsia="uk-UA"/>
        </w:rPr>
        <w:br/>
        <w:t>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сільськогосподарськими товаровиробниками – 1 516 357,17грн (або 45,3% від його загальної суми єдиного податку,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У 1 півріччі 2021 року сума доходів місцевого бюджету від податку на нерухоме майно склала 2 331 552,52 грн, що становить 13,15 % від усієї суми доходів загального фонду місцевого бюджету. Слід зазначити, що у розрізі платників структура наступна:</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lastRenderedPageBreak/>
        <w:t xml:space="preserve">Податок на нерухоме майно, відмінне від земельної ділянки, сплачений юридичними особами, які є власниками об’єктів житлової нерухомості: перераховано до місцевого бюджету 9 549,09грн (або 1,8% від його загальної суми податку на нерухоме майно, що надійшов до місцевого бюджету </w:t>
      </w:r>
      <w:r w:rsidRPr="00B77285">
        <w:rPr>
          <w:sz w:val="28"/>
          <w:szCs w:val="28"/>
          <w:lang w:val="uk-UA" w:eastAsia="uk-UA"/>
        </w:rPr>
        <w:br/>
        <w:t>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Податок на нерухоме майно, відмінне від земельної ділянки, сплачений фізичними особами, які є власниками об’єктів житлової нерухомості: перераховано до місцевого бюджету 93 526,33грн (або 17,85% від загальної суми податку на нерухоме майно, що надійшов до місцевого бюджету </w:t>
      </w:r>
      <w:r w:rsidRPr="00B77285">
        <w:rPr>
          <w:sz w:val="28"/>
          <w:szCs w:val="28"/>
          <w:lang w:val="uk-UA" w:eastAsia="uk-UA"/>
        </w:rPr>
        <w:br/>
        <w:t>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Податок на нерухоме майно, відмінне від земельної ділянки, сплачений юридичними особами, які є власниками об’єктів нежитлової нерухомості: перераховано до місцевого бюджету 404 610,92грн (або 77,20 % від загальної суми податку на нерухоме майно, що надійшов до місцевого бюджету </w:t>
      </w:r>
      <w:r w:rsidRPr="00B77285">
        <w:rPr>
          <w:sz w:val="28"/>
          <w:szCs w:val="28"/>
          <w:lang w:val="uk-UA" w:eastAsia="uk-UA"/>
        </w:rPr>
        <w:br/>
        <w:t>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Податок на нерухоме майно, відмінне від земельної ділянки, сплачений фізичними особами, які є власниками об’єктів нежитлової нерухомості: перераховано до місцевого бюджету 16 414,45грн (або 3,13 % від загальної суми податку на нерухоме майно, що надійшов до місцевого бюджету </w:t>
      </w:r>
      <w:r w:rsidRPr="00B77285">
        <w:rPr>
          <w:sz w:val="28"/>
          <w:szCs w:val="28"/>
          <w:lang w:val="uk-UA" w:eastAsia="uk-UA"/>
        </w:rPr>
        <w:br/>
        <w:t>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Норматив відрахувань до місцевого бюджету затверджений сільською радою від </w:t>
      </w:r>
      <w:r w:rsidRPr="00B77285">
        <w:rPr>
          <w:sz w:val="28"/>
          <w:szCs w:val="28"/>
          <w:lang w:val="uk-UA"/>
        </w:rPr>
        <w:t>23.06.2020</w:t>
      </w:r>
      <w:r w:rsidRPr="00B77285">
        <w:rPr>
          <w:noProof/>
          <w:sz w:val="28"/>
          <w:szCs w:val="28"/>
          <w:lang w:val="uk-UA"/>
        </w:rPr>
        <w:t xml:space="preserve"> року №1530</w:t>
      </w:r>
      <w:r w:rsidRPr="00B77285">
        <w:rPr>
          <w:sz w:val="28"/>
          <w:szCs w:val="28"/>
          <w:lang w:val="uk-UA" w:eastAsia="uk-UA"/>
        </w:rPr>
        <w:t xml:space="preserve"> «Про встановлення місцевих податків і зборів на території Великосеверинівської територіальної громади на 2021 рік».</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У 1 півріччі 2021 року сума доходів місцевого бюджету від надходжень плати за землю склала 1 782 451,73 грн, що становить 10,05 % від усієї суми доходів загального фонду місцевого бюджету. Слід зазначити, що у розрізі платників структура наступна:</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земельний податок з юридичних осіб перераховано до місцевого бюджету 383 481,29грн (або 67,9 % від його загальної суми плати за землю,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земельний податок з фізичних осіб перераховано до місцевого бюджету 25 260,27грн (або 1,4 % від його загальної суми плати за землю,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орендна плата з юридичних осіб перераховано до місцевого бюджету 1 357 305,39 грн (або 76,15 % від його загальної суми плати за землю,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орендна плата з фізичних осіб перераховано до місцевого бюджету 16 404,78 грн (або 0,92 % від його загальної суми плати за землю,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У 1 півріччі 2021 року сума доходів місцевого бюджету від надходжень транспортного податку склала 25 000,00 грн., при плані 0 грн.</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У 1 півріччі 2021 року сума доходів місцевого бюджету від надходжень єдиного податку склала 3 346 146,31 грн, що становить 18,88% від усієї суми </w:t>
      </w:r>
      <w:r w:rsidRPr="00B77285">
        <w:rPr>
          <w:sz w:val="28"/>
          <w:szCs w:val="28"/>
          <w:lang w:val="uk-UA" w:eastAsia="uk-UA"/>
        </w:rPr>
        <w:lastRenderedPageBreak/>
        <w:t>доходів загального фонду місцевого бюджету. Слід зазначити, що у розрізі платників структура наступна:</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фізичними особами-підприємцями перераховано до місцевого бюджету 1 703 416,98 грн єдиного податку (або 50,9 % від його загальної суми єдиного податку,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юридичними особами перераховано – 126 372,16грн (або 3,8 % від його загальної суми єдиного податку, що надійшла до місцевого бюджету </w:t>
      </w:r>
      <w:r w:rsidRPr="00B77285">
        <w:rPr>
          <w:sz w:val="28"/>
          <w:szCs w:val="28"/>
          <w:lang w:val="uk-UA" w:eastAsia="uk-UA"/>
        </w:rPr>
        <w:br/>
        <w:t>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сільськогосподарськими товаровиробниками – 1 516 357,17грн (або 45,3% від його загальної суми єдиного податку, що надійшла до місцевого бюджету у 1 півріччі 2021 року),</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 xml:space="preserve">3.Відповідно до норм статті 77 Бюджетного кодексу України </w:t>
      </w:r>
      <w:r w:rsidRPr="00B77285">
        <w:rPr>
          <w:sz w:val="28"/>
          <w:szCs w:val="28"/>
          <w:lang w:val="uk-UA" w:eastAsia="uk-UA"/>
        </w:rPr>
        <w:br/>
        <w:t xml:space="preserve">у 1 півріччі 2021 року до місцевого бюджету надійшли офіційні трансферти в сумі 11 937 676,00 грн або 100 відсотків до плану. </w:t>
      </w:r>
    </w:p>
    <w:p w:rsidR="00B77285" w:rsidRPr="00B77285" w:rsidRDefault="00B77285" w:rsidP="00B77285">
      <w:pPr>
        <w:pStyle w:val="a3"/>
        <w:ind w:firstLine="709"/>
        <w:jc w:val="both"/>
        <w:rPr>
          <w:sz w:val="28"/>
          <w:szCs w:val="28"/>
        </w:rPr>
      </w:pPr>
      <w:r w:rsidRPr="00B77285">
        <w:rPr>
          <w:sz w:val="28"/>
          <w:szCs w:val="28"/>
        </w:rPr>
        <w:t xml:space="preserve">Одним з пріоритетних напрямків розвитку Великосеверинівської територіальної громади є конкурентоспроможність  громади, покращення умов життя та праці жителів громади, створення умов для розвитку підприємництва у сільській місцевості.     </w:t>
      </w:r>
    </w:p>
    <w:p w:rsidR="00B77285" w:rsidRPr="00B77285" w:rsidRDefault="00B77285" w:rsidP="00B77285">
      <w:pPr>
        <w:pStyle w:val="a3"/>
        <w:ind w:firstLine="709"/>
        <w:jc w:val="both"/>
        <w:rPr>
          <w:sz w:val="28"/>
          <w:szCs w:val="28"/>
        </w:rPr>
      </w:pPr>
      <w:r w:rsidRPr="00B77285">
        <w:rPr>
          <w:sz w:val="28"/>
          <w:szCs w:val="28"/>
        </w:rPr>
        <w:t>На території громади виконуються роботи по капітальному ремонту Созонівського НВК, реконструкція будинку культури в с. Підгайці., запрацював  асфальтобетонний завод на території с. Підгайці.</w:t>
      </w:r>
    </w:p>
    <w:p w:rsidR="00B77285" w:rsidRPr="00B77285" w:rsidRDefault="00B77285" w:rsidP="00B77285">
      <w:pPr>
        <w:ind w:firstLine="709"/>
        <w:jc w:val="both"/>
        <w:rPr>
          <w:sz w:val="28"/>
          <w:szCs w:val="28"/>
          <w:lang w:val="uk-UA"/>
        </w:rPr>
      </w:pPr>
      <w:r w:rsidRPr="00B77285">
        <w:rPr>
          <w:sz w:val="28"/>
          <w:szCs w:val="28"/>
          <w:lang w:val="uk-UA"/>
        </w:rPr>
        <w:t>Освітня сфера Великосеверинівської територіальної громади це мережа закладів дошкільної та загальної середньої, де приділяється належна увага освіті дітей з особливими освітніми потребами.</w:t>
      </w:r>
    </w:p>
    <w:p w:rsidR="00B77285" w:rsidRPr="00B77285" w:rsidRDefault="00B77285" w:rsidP="00B77285">
      <w:pPr>
        <w:ind w:firstLine="709"/>
        <w:jc w:val="both"/>
        <w:rPr>
          <w:sz w:val="28"/>
          <w:szCs w:val="28"/>
          <w:lang w:val="uk-UA"/>
        </w:rPr>
      </w:pPr>
      <w:r w:rsidRPr="00B77285">
        <w:rPr>
          <w:sz w:val="28"/>
          <w:szCs w:val="28"/>
          <w:lang w:val="uk-UA"/>
        </w:rPr>
        <w:t>Впродовж І півріччя 2021 року проводилась значна робота по втіленню у життя законодавчо визначеної системи державної допомоги, виконано певний обсяг робіт по зміцненню матеріальної бази закладів освіти, культури, охорони здоров’я, об’єктів житло-комунального господарства, створення належних умов для отримання населення Великосеверинівської  територіальної громади якісних освітніх, медичних, культурних та соціальних послуг.</w:t>
      </w:r>
    </w:p>
    <w:p w:rsidR="00B77285" w:rsidRPr="00B77285" w:rsidRDefault="00B77285" w:rsidP="00B77285">
      <w:pPr>
        <w:tabs>
          <w:tab w:val="left" w:pos="720"/>
          <w:tab w:val="left" w:pos="2880"/>
        </w:tabs>
        <w:autoSpaceDE w:val="0"/>
        <w:autoSpaceDN w:val="0"/>
        <w:adjustRightInd w:val="0"/>
        <w:ind w:firstLine="709"/>
        <w:jc w:val="both"/>
        <w:outlineLvl w:val="0"/>
        <w:rPr>
          <w:sz w:val="28"/>
          <w:szCs w:val="28"/>
          <w:lang w:val="uk-UA" w:eastAsia="uk-UA"/>
        </w:rPr>
      </w:pPr>
      <w:r w:rsidRPr="00B77285">
        <w:rPr>
          <w:sz w:val="28"/>
          <w:szCs w:val="28"/>
          <w:lang w:val="uk-UA" w:eastAsia="uk-UA"/>
        </w:rPr>
        <w:t>Протягом січня – червня 2021 року до місцевого бюджету надійшло власних доходів (без врахування трансфертів) у сумі 17 725 189,05 грн., при плані 13 587 948,00 грн., виконання – 130,45 %. Сума перевиконання становить 4 137 241,05 грн.</w:t>
      </w:r>
    </w:p>
    <w:p w:rsidR="00B77285" w:rsidRPr="00B77285" w:rsidRDefault="00B77285" w:rsidP="00B77285">
      <w:pPr>
        <w:jc w:val="center"/>
        <w:rPr>
          <w:b/>
          <w:bCs/>
          <w:sz w:val="28"/>
          <w:szCs w:val="28"/>
          <w:lang w:val="uk-UA" w:eastAsia="uk-UA"/>
        </w:rPr>
      </w:pPr>
    </w:p>
    <w:p w:rsidR="00B77285" w:rsidRPr="00B77285" w:rsidRDefault="00B77285" w:rsidP="00B77285">
      <w:pPr>
        <w:jc w:val="center"/>
        <w:rPr>
          <w:b/>
          <w:bCs/>
          <w:sz w:val="28"/>
          <w:szCs w:val="28"/>
          <w:lang w:val="uk-UA"/>
        </w:rPr>
      </w:pPr>
      <w:r w:rsidRPr="00B77285">
        <w:rPr>
          <w:b/>
          <w:bCs/>
          <w:sz w:val="28"/>
          <w:szCs w:val="28"/>
          <w:lang w:val="uk-UA"/>
        </w:rPr>
        <w:t>3. Загальні показники бюджету</w:t>
      </w:r>
    </w:p>
    <w:tbl>
      <w:tblPr>
        <w:tblStyle w:val="a6"/>
        <w:tblW w:w="9716" w:type="dxa"/>
        <w:tblLayout w:type="fixed"/>
        <w:tblLook w:val="04A0"/>
      </w:tblPr>
      <w:tblGrid>
        <w:gridCol w:w="675"/>
        <w:gridCol w:w="4111"/>
        <w:gridCol w:w="992"/>
        <w:gridCol w:w="1276"/>
        <w:gridCol w:w="1276"/>
        <w:gridCol w:w="1386"/>
      </w:tblGrid>
      <w:tr w:rsidR="00B77285" w:rsidRPr="00B77285" w:rsidTr="002A29D6">
        <w:trPr>
          <w:trHeight w:val="1097"/>
        </w:trPr>
        <w:tc>
          <w:tcPr>
            <w:tcW w:w="675" w:type="dxa"/>
            <w:vAlign w:val="center"/>
          </w:tcPr>
          <w:p w:rsidR="00B77285" w:rsidRPr="00B77285" w:rsidRDefault="00B77285" w:rsidP="00B77285">
            <w:pPr>
              <w:spacing w:after="150"/>
              <w:jc w:val="center"/>
              <w:rPr>
                <w:bCs/>
                <w:lang w:eastAsia="uk-UA"/>
              </w:rPr>
            </w:pPr>
            <w:r w:rsidRPr="00B77285">
              <w:rPr>
                <w:bCs/>
                <w:lang w:eastAsia="uk-UA"/>
              </w:rPr>
              <w:t>№ пор.</w:t>
            </w:r>
          </w:p>
        </w:tc>
        <w:tc>
          <w:tcPr>
            <w:tcW w:w="4111" w:type="dxa"/>
            <w:vAlign w:val="center"/>
          </w:tcPr>
          <w:p w:rsidR="00B77285" w:rsidRPr="00B77285" w:rsidRDefault="00B77285" w:rsidP="00B77285">
            <w:pPr>
              <w:pStyle w:val="a4"/>
              <w:spacing w:after="150"/>
              <w:jc w:val="center"/>
              <w:rPr>
                <w:bCs/>
              </w:rPr>
            </w:pPr>
            <w:r w:rsidRPr="00B77285">
              <w:rPr>
                <w:bCs/>
              </w:rPr>
              <w:t>Назва показника</w:t>
            </w:r>
          </w:p>
        </w:tc>
        <w:tc>
          <w:tcPr>
            <w:tcW w:w="992" w:type="dxa"/>
            <w:vAlign w:val="center"/>
          </w:tcPr>
          <w:tbl>
            <w:tblPr>
              <w:tblW w:w="2144" w:type="dxa"/>
              <w:shd w:val="clear" w:color="auto" w:fill="FFFFFF"/>
              <w:tblLayout w:type="fixed"/>
              <w:tblCellMar>
                <w:left w:w="0" w:type="dxa"/>
                <w:right w:w="0" w:type="dxa"/>
              </w:tblCellMar>
              <w:tblLook w:val="04A0"/>
            </w:tblPr>
            <w:tblGrid>
              <w:gridCol w:w="884"/>
              <w:gridCol w:w="1260"/>
            </w:tblGrid>
            <w:tr w:rsidR="00B77285" w:rsidRPr="00B77285" w:rsidTr="002A29D6">
              <w:tc>
                <w:tcPr>
                  <w:tcW w:w="884" w:type="dxa"/>
                  <w:shd w:val="clear" w:color="auto" w:fill="FFFFFF"/>
                  <w:vAlign w:val="center"/>
                  <w:hideMark/>
                </w:tcPr>
                <w:p w:rsidR="00B77285" w:rsidRPr="00B77285" w:rsidRDefault="00B77285" w:rsidP="00B77285">
                  <w:pPr>
                    <w:spacing w:after="150"/>
                    <w:jc w:val="center"/>
                    <w:rPr>
                      <w:bCs/>
                      <w:lang w:val="uk-UA" w:eastAsia="uk-UA"/>
                    </w:rPr>
                  </w:pPr>
                  <w:r w:rsidRPr="00B77285">
                    <w:rPr>
                      <w:bCs/>
                      <w:sz w:val="22"/>
                      <w:szCs w:val="22"/>
                      <w:lang w:val="uk-UA" w:eastAsia="uk-UA"/>
                    </w:rPr>
                    <w:t>Од. виміру</w:t>
                  </w:r>
                </w:p>
              </w:tc>
              <w:tc>
                <w:tcPr>
                  <w:tcW w:w="1260" w:type="dxa"/>
                  <w:shd w:val="clear" w:color="auto" w:fill="FFFFFF"/>
                  <w:vAlign w:val="center"/>
                  <w:hideMark/>
                </w:tcPr>
                <w:p w:rsidR="00B77285" w:rsidRPr="00B77285" w:rsidRDefault="00B77285" w:rsidP="00B77285">
                  <w:pPr>
                    <w:jc w:val="center"/>
                    <w:rPr>
                      <w:bCs/>
                      <w:lang w:val="uk-UA" w:eastAsia="uk-UA"/>
                    </w:rPr>
                  </w:pPr>
                </w:p>
              </w:tc>
            </w:tr>
          </w:tbl>
          <w:p w:rsidR="00B77285" w:rsidRPr="00B77285" w:rsidRDefault="00B77285" w:rsidP="00B77285">
            <w:pPr>
              <w:spacing w:after="150"/>
              <w:jc w:val="center"/>
              <w:rPr>
                <w:bCs/>
                <w:lang w:eastAsia="uk-UA"/>
              </w:rPr>
            </w:pPr>
          </w:p>
        </w:tc>
        <w:tc>
          <w:tcPr>
            <w:tcW w:w="1276" w:type="dxa"/>
            <w:vAlign w:val="center"/>
          </w:tcPr>
          <w:p w:rsidR="00B77285" w:rsidRPr="00B77285" w:rsidRDefault="00B77285" w:rsidP="00B77285">
            <w:pPr>
              <w:spacing w:after="150"/>
              <w:jc w:val="center"/>
              <w:rPr>
                <w:bCs/>
                <w:lang w:eastAsia="uk-UA"/>
              </w:rPr>
            </w:pPr>
            <w:r w:rsidRPr="00B77285">
              <w:rPr>
                <w:bCs/>
                <w:lang w:eastAsia="uk-UA"/>
              </w:rPr>
              <w:t>2022р.</w:t>
            </w:r>
          </w:p>
        </w:tc>
        <w:tc>
          <w:tcPr>
            <w:tcW w:w="1276" w:type="dxa"/>
            <w:vAlign w:val="center"/>
          </w:tcPr>
          <w:p w:rsidR="00B77285" w:rsidRPr="00B77285" w:rsidRDefault="00B77285" w:rsidP="00B77285">
            <w:pPr>
              <w:spacing w:after="150"/>
              <w:jc w:val="center"/>
              <w:rPr>
                <w:bCs/>
                <w:lang w:eastAsia="uk-UA"/>
              </w:rPr>
            </w:pPr>
            <w:r w:rsidRPr="00B77285">
              <w:rPr>
                <w:bCs/>
                <w:lang w:eastAsia="uk-UA"/>
              </w:rPr>
              <w:t>2023р.</w:t>
            </w:r>
          </w:p>
        </w:tc>
        <w:tc>
          <w:tcPr>
            <w:tcW w:w="1386" w:type="dxa"/>
            <w:vAlign w:val="center"/>
          </w:tcPr>
          <w:p w:rsidR="00B77285" w:rsidRPr="00B77285" w:rsidRDefault="00B77285" w:rsidP="00B77285">
            <w:pPr>
              <w:spacing w:after="150"/>
              <w:jc w:val="center"/>
              <w:rPr>
                <w:bCs/>
                <w:lang w:eastAsia="uk-UA"/>
              </w:rPr>
            </w:pPr>
            <w:r w:rsidRPr="00B77285">
              <w:rPr>
                <w:bCs/>
                <w:lang w:eastAsia="uk-UA"/>
              </w:rPr>
              <w:t>2024р.</w:t>
            </w:r>
          </w:p>
        </w:tc>
      </w:tr>
      <w:tr w:rsidR="00B77285" w:rsidRPr="00B77285" w:rsidTr="002A29D6">
        <w:tc>
          <w:tcPr>
            <w:tcW w:w="675" w:type="dxa"/>
          </w:tcPr>
          <w:p w:rsidR="00B77285" w:rsidRPr="00B77285" w:rsidRDefault="00B77285" w:rsidP="00B77285">
            <w:pPr>
              <w:spacing w:after="150"/>
              <w:jc w:val="center"/>
              <w:rPr>
                <w:bCs/>
                <w:lang w:eastAsia="uk-UA"/>
              </w:rPr>
            </w:pPr>
            <w:r w:rsidRPr="00B77285">
              <w:rPr>
                <w:bCs/>
                <w:lang w:eastAsia="uk-UA"/>
              </w:rPr>
              <w:t>1</w:t>
            </w:r>
          </w:p>
        </w:tc>
        <w:tc>
          <w:tcPr>
            <w:tcW w:w="4111" w:type="dxa"/>
          </w:tcPr>
          <w:p w:rsidR="00B77285" w:rsidRPr="00B77285" w:rsidRDefault="00B77285" w:rsidP="00B77285">
            <w:pPr>
              <w:spacing w:after="150"/>
              <w:rPr>
                <w:bCs/>
              </w:rPr>
            </w:pPr>
            <w:r w:rsidRPr="00B77285">
              <w:rPr>
                <w:bCs/>
              </w:rPr>
              <w:t>Чисельність наявного населення</w:t>
            </w:r>
          </w:p>
        </w:tc>
        <w:tc>
          <w:tcPr>
            <w:tcW w:w="992" w:type="dxa"/>
          </w:tcPr>
          <w:p w:rsidR="00B77285" w:rsidRPr="00B77285" w:rsidRDefault="00B77285" w:rsidP="00B77285">
            <w:pPr>
              <w:spacing w:after="150"/>
              <w:jc w:val="center"/>
              <w:rPr>
                <w:bCs/>
                <w:lang w:eastAsia="uk-UA"/>
              </w:rPr>
            </w:pPr>
            <w:r w:rsidRPr="00B77285">
              <w:rPr>
                <w:bCs/>
                <w:lang w:eastAsia="uk-UA"/>
              </w:rPr>
              <w:t>осіб</w:t>
            </w:r>
          </w:p>
        </w:tc>
        <w:tc>
          <w:tcPr>
            <w:tcW w:w="1276" w:type="dxa"/>
          </w:tcPr>
          <w:p w:rsidR="00B77285" w:rsidRPr="00B77285" w:rsidRDefault="00B77285" w:rsidP="00B77285">
            <w:pPr>
              <w:spacing w:after="150"/>
              <w:jc w:val="center"/>
              <w:rPr>
                <w:bCs/>
                <w:lang w:eastAsia="uk-UA"/>
              </w:rPr>
            </w:pPr>
            <w:r w:rsidRPr="00B77285">
              <w:rPr>
                <w:bCs/>
                <w:lang w:eastAsia="uk-UA"/>
              </w:rPr>
              <w:t>6600</w:t>
            </w:r>
          </w:p>
        </w:tc>
        <w:tc>
          <w:tcPr>
            <w:tcW w:w="1276" w:type="dxa"/>
          </w:tcPr>
          <w:p w:rsidR="00B77285" w:rsidRPr="00B77285" w:rsidRDefault="00B77285" w:rsidP="00B77285">
            <w:pPr>
              <w:spacing w:after="150"/>
              <w:jc w:val="center"/>
              <w:rPr>
                <w:bCs/>
                <w:lang w:eastAsia="uk-UA"/>
              </w:rPr>
            </w:pPr>
            <w:r w:rsidRPr="00B77285">
              <w:rPr>
                <w:bCs/>
                <w:lang w:eastAsia="uk-UA"/>
              </w:rPr>
              <w:t>6800</w:t>
            </w:r>
          </w:p>
        </w:tc>
        <w:tc>
          <w:tcPr>
            <w:tcW w:w="1386" w:type="dxa"/>
          </w:tcPr>
          <w:p w:rsidR="00B77285" w:rsidRPr="00B77285" w:rsidRDefault="00B77285" w:rsidP="00B77285">
            <w:pPr>
              <w:spacing w:after="150"/>
              <w:jc w:val="center"/>
              <w:rPr>
                <w:bCs/>
                <w:lang w:eastAsia="uk-UA"/>
              </w:rPr>
            </w:pPr>
            <w:r w:rsidRPr="00B77285">
              <w:rPr>
                <w:bCs/>
                <w:lang w:eastAsia="uk-UA"/>
              </w:rPr>
              <w:t>6900</w:t>
            </w:r>
          </w:p>
        </w:tc>
      </w:tr>
      <w:tr w:rsidR="00B77285" w:rsidRPr="00B77285" w:rsidTr="002A29D6">
        <w:tc>
          <w:tcPr>
            <w:tcW w:w="675" w:type="dxa"/>
            <w:vMerge w:val="restart"/>
          </w:tcPr>
          <w:p w:rsidR="00B77285" w:rsidRPr="00B77285" w:rsidRDefault="00B77285" w:rsidP="00B77285">
            <w:pPr>
              <w:spacing w:after="150"/>
              <w:jc w:val="center"/>
              <w:rPr>
                <w:bCs/>
                <w:lang w:eastAsia="uk-UA"/>
              </w:rPr>
            </w:pPr>
            <w:r w:rsidRPr="00B77285">
              <w:rPr>
                <w:bCs/>
                <w:lang w:eastAsia="uk-UA"/>
              </w:rPr>
              <w:t>2</w:t>
            </w:r>
          </w:p>
        </w:tc>
        <w:tc>
          <w:tcPr>
            <w:tcW w:w="4111" w:type="dxa"/>
            <w:vMerge w:val="restart"/>
            <w:tcBorders>
              <w:right w:val="single" w:sz="4" w:space="0" w:color="auto"/>
            </w:tcBorders>
          </w:tcPr>
          <w:p w:rsidR="00B77285" w:rsidRPr="00B77285" w:rsidRDefault="00B77285" w:rsidP="00B77285">
            <w:pPr>
              <w:spacing w:after="150"/>
              <w:rPr>
                <w:bCs/>
                <w:lang w:eastAsia="uk-UA"/>
              </w:rPr>
            </w:pPr>
            <w:r w:rsidRPr="00B77285">
              <w:t>Кількість зайнятого населення</w:t>
            </w:r>
          </w:p>
          <w:p w:rsidR="00B77285" w:rsidRPr="00B77285" w:rsidRDefault="00B77285" w:rsidP="00B77285">
            <w:pPr>
              <w:spacing w:after="150"/>
              <w:rPr>
                <w:bCs/>
                <w:lang w:eastAsia="uk-UA"/>
              </w:rPr>
            </w:pPr>
            <w:r w:rsidRPr="00B77285">
              <w:t>на території громади</w:t>
            </w:r>
          </w:p>
          <w:p w:rsidR="00B77285" w:rsidRPr="00B77285" w:rsidRDefault="00B77285" w:rsidP="00B77285">
            <w:pPr>
              <w:spacing w:after="150"/>
              <w:rPr>
                <w:bCs/>
                <w:lang w:eastAsia="uk-UA"/>
              </w:rPr>
            </w:pPr>
            <w:r w:rsidRPr="00B77285">
              <w:lastRenderedPageBreak/>
              <w:t>за межами громади</w:t>
            </w:r>
          </w:p>
        </w:tc>
        <w:tc>
          <w:tcPr>
            <w:tcW w:w="992" w:type="dxa"/>
            <w:vMerge w:val="restart"/>
            <w:tcBorders>
              <w:top w:val="single" w:sz="4" w:space="0" w:color="auto"/>
              <w:left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lastRenderedPageBreak/>
              <w:t>осіб</w:t>
            </w:r>
          </w:p>
        </w:tc>
        <w:tc>
          <w:tcPr>
            <w:tcW w:w="1276" w:type="dxa"/>
            <w:tcBorders>
              <w:top w:val="single" w:sz="4" w:space="0" w:color="auto"/>
              <w:left w:val="single" w:sz="4" w:space="0" w:color="auto"/>
              <w:bottom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t>2620</w:t>
            </w:r>
          </w:p>
        </w:tc>
        <w:tc>
          <w:tcPr>
            <w:tcW w:w="1276" w:type="dxa"/>
            <w:tcBorders>
              <w:top w:val="single" w:sz="4" w:space="0" w:color="auto"/>
              <w:left w:val="single" w:sz="4" w:space="0" w:color="auto"/>
              <w:bottom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t>2680</w:t>
            </w:r>
          </w:p>
        </w:tc>
        <w:tc>
          <w:tcPr>
            <w:tcW w:w="1386" w:type="dxa"/>
            <w:tcBorders>
              <w:top w:val="single" w:sz="4" w:space="0" w:color="auto"/>
              <w:left w:val="single" w:sz="4" w:space="0" w:color="auto"/>
              <w:bottom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t>5600</w:t>
            </w:r>
          </w:p>
        </w:tc>
      </w:tr>
      <w:tr w:rsidR="00B77285" w:rsidRPr="00B77285" w:rsidTr="002A29D6">
        <w:tc>
          <w:tcPr>
            <w:tcW w:w="675" w:type="dxa"/>
            <w:vMerge/>
          </w:tcPr>
          <w:p w:rsidR="00B77285" w:rsidRPr="00B77285" w:rsidRDefault="00B77285" w:rsidP="00B77285">
            <w:pPr>
              <w:spacing w:after="150"/>
              <w:jc w:val="center"/>
              <w:rPr>
                <w:bCs/>
                <w:lang w:eastAsia="uk-UA"/>
              </w:rPr>
            </w:pPr>
          </w:p>
        </w:tc>
        <w:tc>
          <w:tcPr>
            <w:tcW w:w="4111" w:type="dxa"/>
            <w:vMerge/>
            <w:tcBorders>
              <w:right w:val="single" w:sz="4" w:space="0" w:color="auto"/>
            </w:tcBorders>
          </w:tcPr>
          <w:p w:rsidR="00B77285" w:rsidRPr="00B77285" w:rsidRDefault="00B77285" w:rsidP="00B77285">
            <w:pPr>
              <w:spacing w:after="150"/>
              <w:rPr>
                <w:bCs/>
                <w:lang w:eastAsia="uk-UA"/>
              </w:rPr>
            </w:pPr>
          </w:p>
        </w:tc>
        <w:tc>
          <w:tcPr>
            <w:tcW w:w="992" w:type="dxa"/>
            <w:vMerge/>
            <w:tcBorders>
              <w:left w:val="single" w:sz="4" w:space="0" w:color="auto"/>
              <w:right w:val="single" w:sz="4" w:space="0" w:color="auto"/>
            </w:tcBorders>
          </w:tcPr>
          <w:p w:rsidR="00B77285" w:rsidRPr="00B77285" w:rsidRDefault="00B77285" w:rsidP="00B77285">
            <w:pPr>
              <w:spacing w:after="150"/>
              <w:jc w:val="center"/>
              <w:rPr>
                <w:bCs/>
                <w:lang w:eastAsia="uk-UA"/>
              </w:rPr>
            </w:pPr>
          </w:p>
        </w:tc>
        <w:tc>
          <w:tcPr>
            <w:tcW w:w="1276" w:type="dxa"/>
            <w:tcBorders>
              <w:top w:val="single" w:sz="4" w:space="0" w:color="auto"/>
              <w:left w:val="single" w:sz="4" w:space="0" w:color="auto"/>
              <w:bottom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t>1750</w:t>
            </w:r>
          </w:p>
        </w:tc>
        <w:tc>
          <w:tcPr>
            <w:tcW w:w="1276" w:type="dxa"/>
            <w:tcBorders>
              <w:top w:val="single" w:sz="4" w:space="0" w:color="auto"/>
              <w:left w:val="single" w:sz="4" w:space="0" w:color="auto"/>
              <w:bottom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t>1780</w:t>
            </w:r>
          </w:p>
        </w:tc>
        <w:tc>
          <w:tcPr>
            <w:tcW w:w="1386" w:type="dxa"/>
            <w:tcBorders>
              <w:top w:val="single" w:sz="4" w:space="0" w:color="auto"/>
              <w:left w:val="single" w:sz="4" w:space="0" w:color="auto"/>
              <w:bottom w:val="single" w:sz="4" w:space="0" w:color="auto"/>
              <w:right w:val="single" w:sz="4" w:space="0" w:color="auto"/>
            </w:tcBorders>
          </w:tcPr>
          <w:p w:rsidR="00B77285" w:rsidRPr="00B77285" w:rsidRDefault="00B77285" w:rsidP="00B77285">
            <w:pPr>
              <w:spacing w:after="150"/>
              <w:jc w:val="center"/>
              <w:rPr>
                <w:bCs/>
                <w:lang w:eastAsia="uk-UA"/>
              </w:rPr>
            </w:pPr>
            <w:r w:rsidRPr="00B77285">
              <w:rPr>
                <w:bCs/>
                <w:lang w:eastAsia="uk-UA"/>
              </w:rPr>
              <w:t>2000</w:t>
            </w:r>
          </w:p>
        </w:tc>
      </w:tr>
      <w:tr w:rsidR="00B77285" w:rsidRPr="00B77285" w:rsidTr="002A29D6">
        <w:tc>
          <w:tcPr>
            <w:tcW w:w="675" w:type="dxa"/>
            <w:vMerge/>
          </w:tcPr>
          <w:p w:rsidR="00B77285" w:rsidRPr="00B77285" w:rsidRDefault="00B77285" w:rsidP="00B77285">
            <w:pPr>
              <w:spacing w:after="150"/>
              <w:jc w:val="center"/>
              <w:rPr>
                <w:bCs/>
                <w:lang w:eastAsia="uk-UA"/>
              </w:rPr>
            </w:pPr>
          </w:p>
        </w:tc>
        <w:tc>
          <w:tcPr>
            <w:tcW w:w="4111" w:type="dxa"/>
            <w:vMerge/>
            <w:tcBorders>
              <w:right w:val="single" w:sz="4" w:space="0" w:color="auto"/>
            </w:tcBorders>
          </w:tcPr>
          <w:p w:rsidR="00B77285" w:rsidRPr="00B77285" w:rsidRDefault="00B77285" w:rsidP="00B77285">
            <w:pPr>
              <w:spacing w:after="150"/>
              <w:rPr>
                <w:bCs/>
                <w:lang w:eastAsia="uk-UA"/>
              </w:rPr>
            </w:pPr>
          </w:p>
        </w:tc>
        <w:tc>
          <w:tcPr>
            <w:tcW w:w="992" w:type="dxa"/>
            <w:vMerge/>
            <w:tcBorders>
              <w:left w:val="single" w:sz="4" w:space="0" w:color="auto"/>
              <w:right w:val="single" w:sz="4" w:space="0" w:color="auto"/>
            </w:tcBorders>
          </w:tcPr>
          <w:p w:rsidR="00B77285" w:rsidRPr="00B77285" w:rsidRDefault="00B77285" w:rsidP="00B77285">
            <w:pPr>
              <w:spacing w:after="150"/>
              <w:jc w:val="center"/>
              <w:rPr>
                <w:bCs/>
                <w:lang w:eastAsia="uk-UA"/>
              </w:rPr>
            </w:pPr>
          </w:p>
        </w:tc>
        <w:tc>
          <w:tcPr>
            <w:tcW w:w="1276" w:type="dxa"/>
            <w:tcBorders>
              <w:top w:val="single" w:sz="4" w:space="0" w:color="auto"/>
              <w:left w:val="single" w:sz="4" w:space="0" w:color="auto"/>
            </w:tcBorders>
          </w:tcPr>
          <w:p w:rsidR="00B77285" w:rsidRPr="00B77285" w:rsidRDefault="00B77285" w:rsidP="00B77285">
            <w:pPr>
              <w:spacing w:after="150"/>
              <w:jc w:val="center"/>
              <w:rPr>
                <w:bCs/>
                <w:lang w:eastAsia="uk-UA"/>
              </w:rPr>
            </w:pPr>
            <w:r w:rsidRPr="00B77285">
              <w:rPr>
                <w:bCs/>
                <w:lang w:eastAsia="uk-UA"/>
              </w:rPr>
              <w:t>870</w:t>
            </w:r>
          </w:p>
        </w:tc>
        <w:tc>
          <w:tcPr>
            <w:tcW w:w="1276" w:type="dxa"/>
            <w:tcBorders>
              <w:top w:val="single" w:sz="4" w:space="0" w:color="auto"/>
            </w:tcBorders>
          </w:tcPr>
          <w:p w:rsidR="00B77285" w:rsidRPr="00B77285" w:rsidRDefault="00B77285" w:rsidP="00B77285">
            <w:pPr>
              <w:spacing w:after="150"/>
              <w:jc w:val="center"/>
              <w:rPr>
                <w:bCs/>
                <w:lang w:eastAsia="uk-UA"/>
              </w:rPr>
            </w:pPr>
            <w:r w:rsidRPr="00B77285">
              <w:rPr>
                <w:bCs/>
                <w:lang w:eastAsia="uk-UA"/>
              </w:rPr>
              <w:t>900</w:t>
            </w:r>
          </w:p>
        </w:tc>
        <w:tc>
          <w:tcPr>
            <w:tcW w:w="1386" w:type="dxa"/>
            <w:tcBorders>
              <w:top w:val="single" w:sz="4" w:space="0" w:color="auto"/>
            </w:tcBorders>
          </w:tcPr>
          <w:p w:rsidR="00B77285" w:rsidRPr="00B77285" w:rsidRDefault="00B77285" w:rsidP="00B77285">
            <w:pPr>
              <w:spacing w:after="150"/>
              <w:jc w:val="center"/>
              <w:rPr>
                <w:bCs/>
                <w:lang w:eastAsia="uk-UA"/>
              </w:rPr>
            </w:pPr>
            <w:r w:rsidRPr="00B77285">
              <w:rPr>
                <w:bCs/>
                <w:lang w:eastAsia="uk-UA"/>
              </w:rPr>
              <w:t>920</w:t>
            </w:r>
          </w:p>
        </w:tc>
      </w:tr>
      <w:tr w:rsidR="00B77285" w:rsidRPr="00B77285" w:rsidTr="002A29D6">
        <w:tc>
          <w:tcPr>
            <w:tcW w:w="675" w:type="dxa"/>
          </w:tcPr>
          <w:p w:rsidR="00B77285" w:rsidRPr="00B77285" w:rsidRDefault="00B77285" w:rsidP="00B77285">
            <w:pPr>
              <w:spacing w:after="150"/>
              <w:jc w:val="center"/>
              <w:rPr>
                <w:bCs/>
                <w:lang w:eastAsia="uk-UA"/>
              </w:rPr>
            </w:pPr>
            <w:r w:rsidRPr="00B77285">
              <w:rPr>
                <w:bCs/>
                <w:lang w:eastAsia="uk-UA"/>
              </w:rPr>
              <w:lastRenderedPageBreak/>
              <w:t>3</w:t>
            </w:r>
          </w:p>
        </w:tc>
        <w:tc>
          <w:tcPr>
            <w:tcW w:w="4111" w:type="dxa"/>
          </w:tcPr>
          <w:p w:rsidR="00B77285" w:rsidRPr="00B77285" w:rsidRDefault="00B77285" w:rsidP="00B77285">
            <w:pPr>
              <w:spacing w:after="150"/>
            </w:pPr>
            <w:r w:rsidRPr="00B77285">
              <w:t>Середньомісячна заробітна плата працівників  </w:t>
            </w:r>
          </w:p>
        </w:tc>
        <w:tc>
          <w:tcPr>
            <w:tcW w:w="992" w:type="dxa"/>
          </w:tcPr>
          <w:p w:rsidR="00B77285" w:rsidRPr="00B77285" w:rsidRDefault="00B77285" w:rsidP="00B77285">
            <w:pPr>
              <w:spacing w:after="150"/>
              <w:jc w:val="center"/>
              <w:rPr>
                <w:bCs/>
                <w:lang w:eastAsia="uk-UA"/>
              </w:rPr>
            </w:pPr>
            <w:r w:rsidRPr="00B77285">
              <w:rPr>
                <w:bCs/>
                <w:lang w:eastAsia="uk-UA"/>
              </w:rPr>
              <w:t>грн.</w:t>
            </w:r>
          </w:p>
        </w:tc>
        <w:tc>
          <w:tcPr>
            <w:tcW w:w="1276" w:type="dxa"/>
          </w:tcPr>
          <w:p w:rsidR="00B77285" w:rsidRPr="00B77285" w:rsidRDefault="00B77285" w:rsidP="00B77285">
            <w:pPr>
              <w:spacing w:after="150"/>
              <w:jc w:val="center"/>
              <w:rPr>
                <w:bCs/>
                <w:lang w:eastAsia="uk-UA"/>
              </w:rPr>
            </w:pPr>
            <w:r w:rsidRPr="00B77285">
              <w:rPr>
                <w:bCs/>
                <w:lang w:eastAsia="uk-UA"/>
              </w:rPr>
              <w:t>6700</w:t>
            </w:r>
          </w:p>
        </w:tc>
        <w:tc>
          <w:tcPr>
            <w:tcW w:w="1276" w:type="dxa"/>
          </w:tcPr>
          <w:p w:rsidR="00B77285" w:rsidRPr="00B77285" w:rsidRDefault="00B77285" w:rsidP="00B77285">
            <w:pPr>
              <w:spacing w:after="150"/>
              <w:jc w:val="center"/>
              <w:rPr>
                <w:bCs/>
                <w:lang w:eastAsia="uk-UA"/>
              </w:rPr>
            </w:pPr>
            <w:r w:rsidRPr="00B77285">
              <w:rPr>
                <w:bCs/>
                <w:lang w:eastAsia="uk-UA"/>
              </w:rPr>
              <w:t>7300</w:t>
            </w:r>
          </w:p>
        </w:tc>
        <w:tc>
          <w:tcPr>
            <w:tcW w:w="1386" w:type="dxa"/>
          </w:tcPr>
          <w:p w:rsidR="00B77285" w:rsidRPr="00B77285" w:rsidRDefault="00B77285" w:rsidP="00B77285">
            <w:pPr>
              <w:spacing w:after="150"/>
              <w:jc w:val="center"/>
              <w:rPr>
                <w:bCs/>
                <w:lang w:eastAsia="uk-UA"/>
              </w:rPr>
            </w:pPr>
            <w:r w:rsidRPr="00B77285">
              <w:rPr>
                <w:bCs/>
                <w:lang w:eastAsia="uk-UA"/>
              </w:rPr>
              <w:t>7500</w:t>
            </w:r>
          </w:p>
        </w:tc>
      </w:tr>
      <w:tr w:rsidR="00B77285" w:rsidRPr="00B77285" w:rsidTr="002A29D6">
        <w:tc>
          <w:tcPr>
            <w:tcW w:w="675" w:type="dxa"/>
          </w:tcPr>
          <w:p w:rsidR="00B77285" w:rsidRPr="00B77285" w:rsidRDefault="00B77285" w:rsidP="00B77285">
            <w:pPr>
              <w:spacing w:after="150"/>
              <w:jc w:val="center"/>
              <w:rPr>
                <w:bCs/>
                <w:lang w:eastAsia="uk-UA"/>
              </w:rPr>
            </w:pPr>
            <w:r w:rsidRPr="00B77285">
              <w:rPr>
                <w:bCs/>
                <w:lang w:eastAsia="uk-UA"/>
              </w:rPr>
              <w:t>4</w:t>
            </w:r>
          </w:p>
        </w:tc>
        <w:tc>
          <w:tcPr>
            <w:tcW w:w="4111" w:type="dxa"/>
          </w:tcPr>
          <w:p w:rsidR="00B77285" w:rsidRPr="00B77285" w:rsidRDefault="00B77285" w:rsidP="00B77285">
            <w:pPr>
              <w:spacing w:after="150"/>
              <w:rPr>
                <w:bCs/>
                <w:lang w:eastAsia="uk-UA"/>
              </w:rPr>
            </w:pPr>
            <w:r w:rsidRPr="00B77285">
              <w:rPr>
                <w:bCs/>
                <w:lang w:eastAsia="uk-UA"/>
              </w:rPr>
              <w:t xml:space="preserve">Кількість малих (враховуючи </w:t>
            </w:r>
            <w:proofErr w:type="spellStart"/>
            <w:r w:rsidRPr="00B77285">
              <w:rPr>
                <w:bCs/>
                <w:lang w:eastAsia="uk-UA"/>
              </w:rPr>
              <w:t>ФОП</w:t>
            </w:r>
            <w:proofErr w:type="spellEnd"/>
            <w:r w:rsidRPr="00B77285">
              <w:rPr>
                <w:bCs/>
                <w:lang w:eastAsia="uk-UA"/>
              </w:rPr>
              <w:t>), зареєстрованих як платники податків</w:t>
            </w:r>
          </w:p>
        </w:tc>
        <w:tc>
          <w:tcPr>
            <w:tcW w:w="992" w:type="dxa"/>
          </w:tcPr>
          <w:p w:rsidR="00B77285" w:rsidRPr="00B77285" w:rsidRDefault="00B77285" w:rsidP="00B77285">
            <w:pPr>
              <w:spacing w:after="150"/>
              <w:jc w:val="center"/>
              <w:rPr>
                <w:bCs/>
                <w:lang w:eastAsia="uk-UA"/>
              </w:rPr>
            </w:pPr>
            <w:r w:rsidRPr="00B77285">
              <w:rPr>
                <w:bCs/>
                <w:lang w:eastAsia="uk-UA"/>
              </w:rPr>
              <w:t>од.</w:t>
            </w:r>
          </w:p>
        </w:tc>
        <w:tc>
          <w:tcPr>
            <w:tcW w:w="1276" w:type="dxa"/>
          </w:tcPr>
          <w:p w:rsidR="00B77285" w:rsidRPr="00B77285" w:rsidRDefault="00B77285" w:rsidP="00B77285">
            <w:pPr>
              <w:spacing w:after="150"/>
              <w:jc w:val="center"/>
              <w:rPr>
                <w:bCs/>
                <w:lang w:eastAsia="uk-UA"/>
              </w:rPr>
            </w:pPr>
            <w:r w:rsidRPr="00B77285">
              <w:rPr>
                <w:bCs/>
                <w:lang w:eastAsia="uk-UA"/>
              </w:rPr>
              <w:t>185</w:t>
            </w:r>
          </w:p>
        </w:tc>
        <w:tc>
          <w:tcPr>
            <w:tcW w:w="1276" w:type="dxa"/>
          </w:tcPr>
          <w:p w:rsidR="00B77285" w:rsidRPr="00B77285" w:rsidRDefault="00B77285" w:rsidP="00B77285">
            <w:pPr>
              <w:spacing w:after="150"/>
              <w:jc w:val="center"/>
              <w:rPr>
                <w:bCs/>
                <w:lang w:eastAsia="uk-UA"/>
              </w:rPr>
            </w:pPr>
            <w:r w:rsidRPr="00B77285">
              <w:rPr>
                <w:bCs/>
                <w:lang w:eastAsia="uk-UA"/>
              </w:rPr>
              <w:t>189</w:t>
            </w:r>
          </w:p>
        </w:tc>
        <w:tc>
          <w:tcPr>
            <w:tcW w:w="1386" w:type="dxa"/>
          </w:tcPr>
          <w:p w:rsidR="00B77285" w:rsidRPr="00B77285" w:rsidRDefault="00B77285" w:rsidP="00B77285">
            <w:pPr>
              <w:spacing w:after="150"/>
              <w:jc w:val="center"/>
              <w:rPr>
                <w:bCs/>
                <w:lang w:eastAsia="uk-UA"/>
              </w:rPr>
            </w:pPr>
            <w:r w:rsidRPr="00B77285">
              <w:rPr>
                <w:bCs/>
                <w:lang w:eastAsia="uk-UA"/>
              </w:rPr>
              <w:t>192</w:t>
            </w:r>
          </w:p>
        </w:tc>
      </w:tr>
      <w:tr w:rsidR="00B77285" w:rsidRPr="00B77285" w:rsidTr="002A29D6">
        <w:tc>
          <w:tcPr>
            <w:tcW w:w="675" w:type="dxa"/>
          </w:tcPr>
          <w:p w:rsidR="00B77285" w:rsidRPr="00B77285" w:rsidRDefault="00B77285" w:rsidP="00B77285">
            <w:pPr>
              <w:spacing w:after="150"/>
              <w:jc w:val="center"/>
              <w:rPr>
                <w:bCs/>
                <w:lang w:eastAsia="uk-UA"/>
              </w:rPr>
            </w:pPr>
            <w:r w:rsidRPr="00B77285">
              <w:rPr>
                <w:bCs/>
                <w:lang w:eastAsia="uk-UA"/>
              </w:rPr>
              <w:t>5</w:t>
            </w:r>
          </w:p>
        </w:tc>
        <w:tc>
          <w:tcPr>
            <w:tcW w:w="4111" w:type="dxa"/>
          </w:tcPr>
          <w:p w:rsidR="00B77285" w:rsidRPr="00B77285" w:rsidRDefault="00B77285" w:rsidP="00B77285">
            <w:pPr>
              <w:pStyle w:val="a7"/>
              <w:suppressAutoHyphens/>
              <w:snapToGrid w:val="0"/>
              <w:ind w:right="-5"/>
              <w:rPr>
                <w:sz w:val="24"/>
              </w:rPr>
            </w:pPr>
            <w:r w:rsidRPr="00B77285">
              <w:rPr>
                <w:sz w:val="24"/>
              </w:rPr>
              <w:t>Кількість  безробітних</w:t>
            </w:r>
          </w:p>
        </w:tc>
        <w:tc>
          <w:tcPr>
            <w:tcW w:w="992" w:type="dxa"/>
          </w:tcPr>
          <w:p w:rsidR="00B77285" w:rsidRPr="00B77285" w:rsidRDefault="00B77285" w:rsidP="00B77285">
            <w:pPr>
              <w:pStyle w:val="a7"/>
              <w:suppressAutoHyphens/>
              <w:snapToGrid w:val="0"/>
              <w:ind w:right="-5"/>
              <w:jc w:val="center"/>
              <w:rPr>
                <w:sz w:val="24"/>
              </w:rPr>
            </w:pPr>
            <w:r w:rsidRPr="00B77285">
              <w:rPr>
                <w:sz w:val="24"/>
              </w:rPr>
              <w:t>осіб</w:t>
            </w:r>
          </w:p>
        </w:tc>
        <w:tc>
          <w:tcPr>
            <w:tcW w:w="1276" w:type="dxa"/>
          </w:tcPr>
          <w:p w:rsidR="00B77285" w:rsidRPr="00B77285" w:rsidRDefault="00B77285" w:rsidP="00B77285">
            <w:pPr>
              <w:pStyle w:val="a7"/>
              <w:suppressAutoHyphens/>
              <w:snapToGrid w:val="0"/>
              <w:ind w:right="-5"/>
              <w:jc w:val="center"/>
              <w:rPr>
                <w:sz w:val="24"/>
              </w:rPr>
            </w:pPr>
            <w:r w:rsidRPr="00B77285">
              <w:rPr>
                <w:sz w:val="24"/>
              </w:rPr>
              <w:t>48</w:t>
            </w:r>
          </w:p>
        </w:tc>
        <w:tc>
          <w:tcPr>
            <w:tcW w:w="1276" w:type="dxa"/>
          </w:tcPr>
          <w:p w:rsidR="00B77285" w:rsidRPr="00B77285" w:rsidRDefault="00B77285" w:rsidP="00B77285">
            <w:pPr>
              <w:pStyle w:val="a7"/>
              <w:suppressAutoHyphens/>
              <w:snapToGrid w:val="0"/>
              <w:ind w:right="-5"/>
              <w:jc w:val="center"/>
              <w:rPr>
                <w:sz w:val="24"/>
              </w:rPr>
            </w:pPr>
            <w:r w:rsidRPr="00B77285">
              <w:rPr>
                <w:sz w:val="24"/>
              </w:rPr>
              <w:t>40</w:t>
            </w:r>
          </w:p>
        </w:tc>
        <w:tc>
          <w:tcPr>
            <w:tcW w:w="1386" w:type="dxa"/>
          </w:tcPr>
          <w:p w:rsidR="00B77285" w:rsidRPr="00B77285" w:rsidRDefault="00B77285" w:rsidP="00B77285">
            <w:pPr>
              <w:pStyle w:val="a7"/>
              <w:suppressAutoHyphens/>
              <w:snapToGrid w:val="0"/>
              <w:ind w:right="-5"/>
              <w:jc w:val="center"/>
              <w:rPr>
                <w:sz w:val="24"/>
              </w:rPr>
            </w:pPr>
            <w:r w:rsidRPr="00B77285">
              <w:rPr>
                <w:sz w:val="24"/>
              </w:rPr>
              <w:t>35</w:t>
            </w:r>
          </w:p>
        </w:tc>
      </w:tr>
      <w:tr w:rsidR="00B77285" w:rsidRPr="00B77285" w:rsidTr="002A29D6">
        <w:tc>
          <w:tcPr>
            <w:tcW w:w="675" w:type="dxa"/>
          </w:tcPr>
          <w:p w:rsidR="00B77285" w:rsidRPr="00B77285" w:rsidRDefault="00B77285" w:rsidP="00B77285">
            <w:pPr>
              <w:pStyle w:val="a7"/>
              <w:suppressAutoHyphens/>
              <w:snapToGrid w:val="0"/>
              <w:ind w:right="-5"/>
              <w:jc w:val="center"/>
              <w:rPr>
                <w:sz w:val="24"/>
              </w:rPr>
            </w:pPr>
            <w:r w:rsidRPr="00B77285">
              <w:rPr>
                <w:sz w:val="24"/>
              </w:rPr>
              <w:t>6</w:t>
            </w:r>
          </w:p>
        </w:tc>
        <w:tc>
          <w:tcPr>
            <w:tcW w:w="4111" w:type="dxa"/>
          </w:tcPr>
          <w:p w:rsidR="00B77285" w:rsidRPr="00B77285" w:rsidRDefault="00B77285" w:rsidP="00B77285">
            <w:pPr>
              <w:pStyle w:val="a7"/>
              <w:suppressAutoHyphens/>
              <w:snapToGrid w:val="0"/>
              <w:ind w:right="-5"/>
              <w:rPr>
                <w:sz w:val="24"/>
              </w:rPr>
            </w:pPr>
            <w:r w:rsidRPr="00B77285">
              <w:rPr>
                <w:sz w:val="24"/>
              </w:rPr>
              <w:t>Індекс цін виробників ((ІЦВ) грудень до грудня попереднього року)</w:t>
            </w:r>
          </w:p>
        </w:tc>
        <w:tc>
          <w:tcPr>
            <w:tcW w:w="992" w:type="dxa"/>
          </w:tcPr>
          <w:p w:rsidR="00B77285" w:rsidRPr="00B77285" w:rsidRDefault="00B77285" w:rsidP="00B77285">
            <w:pPr>
              <w:pStyle w:val="a7"/>
              <w:suppressAutoHyphens/>
              <w:snapToGrid w:val="0"/>
              <w:ind w:right="-5"/>
              <w:jc w:val="center"/>
              <w:rPr>
                <w:sz w:val="24"/>
              </w:rPr>
            </w:pPr>
            <w:r w:rsidRPr="00B77285">
              <w:rPr>
                <w:sz w:val="24"/>
              </w:rPr>
              <w:t>%</w:t>
            </w:r>
          </w:p>
        </w:tc>
        <w:tc>
          <w:tcPr>
            <w:tcW w:w="1276" w:type="dxa"/>
          </w:tcPr>
          <w:p w:rsidR="00B77285" w:rsidRPr="00B77285" w:rsidRDefault="00B77285" w:rsidP="00B77285">
            <w:pPr>
              <w:pStyle w:val="a7"/>
              <w:suppressAutoHyphens/>
              <w:snapToGrid w:val="0"/>
              <w:ind w:right="-5"/>
              <w:jc w:val="center"/>
              <w:rPr>
                <w:sz w:val="24"/>
              </w:rPr>
            </w:pPr>
            <w:r w:rsidRPr="00B77285">
              <w:rPr>
                <w:sz w:val="24"/>
              </w:rPr>
              <w:t>107,8</w:t>
            </w:r>
          </w:p>
        </w:tc>
        <w:tc>
          <w:tcPr>
            <w:tcW w:w="1276" w:type="dxa"/>
          </w:tcPr>
          <w:p w:rsidR="00B77285" w:rsidRPr="00B77285" w:rsidRDefault="00B77285" w:rsidP="00B77285">
            <w:pPr>
              <w:pStyle w:val="a7"/>
              <w:suppressAutoHyphens/>
              <w:snapToGrid w:val="0"/>
              <w:ind w:right="-5"/>
              <w:jc w:val="center"/>
              <w:rPr>
                <w:sz w:val="24"/>
              </w:rPr>
            </w:pPr>
            <w:r w:rsidRPr="00B77285">
              <w:rPr>
                <w:sz w:val="24"/>
              </w:rPr>
              <w:t>106,2</w:t>
            </w:r>
          </w:p>
        </w:tc>
        <w:tc>
          <w:tcPr>
            <w:tcW w:w="1386" w:type="dxa"/>
          </w:tcPr>
          <w:p w:rsidR="00B77285" w:rsidRPr="00B77285" w:rsidRDefault="00B77285" w:rsidP="00B77285">
            <w:pPr>
              <w:pStyle w:val="a7"/>
              <w:suppressAutoHyphens/>
              <w:snapToGrid w:val="0"/>
              <w:ind w:right="-5"/>
              <w:jc w:val="center"/>
              <w:rPr>
                <w:sz w:val="24"/>
              </w:rPr>
            </w:pPr>
            <w:r w:rsidRPr="00B77285">
              <w:rPr>
                <w:sz w:val="24"/>
              </w:rPr>
              <w:t>105,0</w:t>
            </w:r>
          </w:p>
        </w:tc>
      </w:tr>
      <w:tr w:rsidR="00B77285" w:rsidRPr="00B77285" w:rsidTr="002A29D6">
        <w:tc>
          <w:tcPr>
            <w:tcW w:w="675" w:type="dxa"/>
          </w:tcPr>
          <w:p w:rsidR="00B77285" w:rsidRPr="00B77285" w:rsidRDefault="00B77285" w:rsidP="00B77285">
            <w:pPr>
              <w:pStyle w:val="a7"/>
              <w:suppressAutoHyphens/>
              <w:snapToGrid w:val="0"/>
              <w:ind w:right="-5"/>
              <w:jc w:val="center"/>
              <w:rPr>
                <w:sz w:val="24"/>
              </w:rPr>
            </w:pPr>
            <w:r w:rsidRPr="00B77285">
              <w:rPr>
                <w:sz w:val="24"/>
              </w:rPr>
              <w:t>7</w:t>
            </w:r>
          </w:p>
        </w:tc>
        <w:tc>
          <w:tcPr>
            <w:tcW w:w="4111" w:type="dxa"/>
          </w:tcPr>
          <w:p w:rsidR="00B77285" w:rsidRPr="00B77285" w:rsidRDefault="00B77285" w:rsidP="00B77285">
            <w:r w:rsidRPr="00B77285">
              <w:t>Індекс споживчих цін (</w:t>
            </w:r>
            <w:proofErr w:type="spellStart"/>
            <w:r w:rsidRPr="00B77285">
              <w:t>ІСЦ</w:t>
            </w:r>
            <w:proofErr w:type="spellEnd"/>
            <w:r w:rsidRPr="00B77285">
              <w:t xml:space="preserve"> грудень до грудня попереднього року)</w:t>
            </w:r>
          </w:p>
        </w:tc>
        <w:tc>
          <w:tcPr>
            <w:tcW w:w="992" w:type="dxa"/>
          </w:tcPr>
          <w:p w:rsidR="00B77285" w:rsidRPr="00B77285" w:rsidRDefault="00B77285" w:rsidP="00B77285">
            <w:pPr>
              <w:pStyle w:val="a7"/>
              <w:suppressAutoHyphens/>
              <w:snapToGrid w:val="0"/>
              <w:ind w:right="-5"/>
              <w:jc w:val="center"/>
              <w:rPr>
                <w:sz w:val="24"/>
              </w:rPr>
            </w:pPr>
            <w:r w:rsidRPr="00B77285">
              <w:rPr>
                <w:sz w:val="24"/>
              </w:rPr>
              <w:t>%</w:t>
            </w:r>
          </w:p>
        </w:tc>
        <w:tc>
          <w:tcPr>
            <w:tcW w:w="1276" w:type="dxa"/>
          </w:tcPr>
          <w:p w:rsidR="00B77285" w:rsidRPr="00B77285" w:rsidRDefault="00B77285" w:rsidP="00B77285">
            <w:pPr>
              <w:pStyle w:val="a7"/>
              <w:suppressAutoHyphens/>
              <w:snapToGrid w:val="0"/>
              <w:ind w:right="-5"/>
              <w:jc w:val="center"/>
              <w:rPr>
                <w:sz w:val="24"/>
              </w:rPr>
            </w:pPr>
            <w:r w:rsidRPr="00B77285">
              <w:rPr>
                <w:sz w:val="24"/>
              </w:rPr>
              <w:t>106,2</w:t>
            </w:r>
          </w:p>
        </w:tc>
        <w:tc>
          <w:tcPr>
            <w:tcW w:w="1276" w:type="dxa"/>
          </w:tcPr>
          <w:p w:rsidR="00B77285" w:rsidRPr="00B77285" w:rsidRDefault="00B77285" w:rsidP="00B77285">
            <w:pPr>
              <w:pStyle w:val="a7"/>
              <w:suppressAutoHyphens/>
              <w:snapToGrid w:val="0"/>
              <w:ind w:right="-5"/>
              <w:jc w:val="center"/>
              <w:rPr>
                <w:sz w:val="24"/>
              </w:rPr>
            </w:pPr>
            <w:r w:rsidRPr="00B77285">
              <w:rPr>
                <w:sz w:val="24"/>
              </w:rPr>
              <w:t>105,3</w:t>
            </w:r>
          </w:p>
        </w:tc>
        <w:tc>
          <w:tcPr>
            <w:tcW w:w="1386" w:type="dxa"/>
          </w:tcPr>
          <w:p w:rsidR="00B77285" w:rsidRPr="00B77285" w:rsidRDefault="00B77285" w:rsidP="00B77285">
            <w:pPr>
              <w:pStyle w:val="a7"/>
              <w:suppressAutoHyphens/>
              <w:snapToGrid w:val="0"/>
              <w:ind w:right="-5"/>
              <w:jc w:val="center"/>
              <w:rPr>
                <w:sz w:val="24"/>
              </w:rPr>
            </w:pPr>
            <w:r w:rsidRPr="00B77285">
              <w:rPr>
                <w:sz w:val="24"/>
              </w:rPr>
              <w:t>105,0</w:t>
            </w:r>
          </w:p>
        </w:tc>
      </w:tr>
    </w:tbl>
    <w:p w:rsidR="00B77285" w:rsidRPr="00B77285" w:rsidRDefault="00B77285" w:rsidP="00B77285">
      <w:pPr>
        <w:pStyle w:val="a7"/>
        <w:suppressAutoHyphens/>
        <w:snapToGrid w:val="0"/>
        <w:ind w:right="-5"/>
        <w:rPr>
          <w:sz w:val="24"/>
        </w:rPr>
      </w:pPr>
    </w:p>
    <w:p w:rsidR="00B77285" w:rsidRPr="00B77285" w:rsidRDefault="00B77285" w:rsidP="00B77285">
      <w:pPr>
        <w:pStyle w:val="a7"/>
        <w:suppressAutoHyphens/>
        <w:snapToGrid w:val="0"/>
        <w:ind w:right="-5"/>
        <w:rPr>
          <w:sz w:val="24"/>
        </w:rPr>
      </w:pPr>
    </w:p>
    <w:tbl>
      <w:tblPr>
        <w:tblW w:w="9734" w:type="dxa"/>
        <w:tblInd w:w="-13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954"/>
        <w:gridCol w:w="1260"/>
        <w:gridCol w:w="1260"/>
        <w:gridCol w:w="1260"/>
      </w:tblGrid>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Показники</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2022 рік</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2023 рік</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2024 рік</w:t>
            </w:r>
          </w:p>
        </w:tc>
      </w:tr>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Розмір</w:t>
            </w:r>
            <w:r>
              <w:rPr>
                <w:b/>
                <w:sz w:val="24"/>
              </w:rPr>
              <w:t xml:space="preserve"> </w:t>
            </w:r>
            <w:r w:rsidRPr="00B77285">
              <w:rPr>
                <w:b/>
                <w:sz w:val="24"/>
              </w:rPr>
              <w:t>мінімальної заробітної плати:</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b/>
                <w:sz w:val="24"/>
              </w:rPr>
            </w:pPr>
            <w:r w:rsidRPr="00B77285">
              <w:rPr>
                <w:b/>
                <w:sz w:val="24"/>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b/>
                <w:sz w:val="24"/>
              </w:rPr>
            </w:pPr>
            <w:r w:rsidRPr="00B77285">
              <w:rPr>
                <w:b/>
                <w:sz w:val="24"/>
              </w:rPr>
              <w:t> </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b/>
                <w:sz w:val="24"/>
              </w:rPr>
            </w:pPr>
            <w:r w:rsidRPr="00B77285">
              <w:rPr>
                <w:b/>
                <w:sz w:val="24"/>
              </w:rPr>
              <w:t> </w:t>
            </w:r>
          </w:p>
        </w:tc>
      </w:tr>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з 1 січня року (гривні)</w:t>
            </w:r>
            <w:r w:rsidRPr="00B77285">
              <w:rPr>
                <w:sz w:val="24"/>
              </w:rPr>
              <w:br/>
              <w:t>з 1 жовтня року</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6500</w:t>
            </w:r>
            <w:r w:rsidRPr="00B77285">
              <w:rPr>
                <w:sz w:val="24"/>
              </w:rPr>
              <w:br/>
              <w:t>6700</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7176</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7665</w:t>
            </w:r>
          </w:p>
        </w:tc>
      </w:tr>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Приріст до попереднього року (відсоток)</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7,1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6,8</w:t>
            </w:r>
          </w:p>
        </w:tc>
      </w:tr>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Розмір посадового окладу працівника І тарифного розряду Єдиної тарифної сітки:</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з 1 січня року (гривні)</w:t>
            </w:r>
            <w:r w:rsidRPr="00B77285">
              <w:rPr>
                <w:sz w:val="24"/>
              </w:rPr>
              <w:br/>
              <w:t>з 1 жовтня року</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2893</w:t>
            </w:r>
            <w:r w:rsidRPr="00B77285">
              <w:rPr>
                <w:sz w:val="24"/>
              </w:rPr>
              <w:br/>
              <w:t>2982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3193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3411</w:t>
            </w:r>
          </w:p>
        </w:tc>
      </w:tr>
      <w:tr w:rsidR="00B77285" w:rsidRPr="00B77285" w:rsidTr="002A29D6">
        <w:tc>
          <w:tcPr>
            <w:tcW w:w="5954"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Приріст до попереднього року (відсоток)</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7,1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6,8</w:t>
            </w:r>
          </w:p>
        </w:tc>
      </w:tr>
    </w:tbl>
    <w:p w:rsidR="00B77285" w:rsidRPr="00B77285" w:rsidRDefault="00B77285" w:rsidP="00B77285">
      <w:pPr>
        <w:pStyle w:val="a7"/>
        <w:suppressAutoHyphens/>
        <w:snapToGrid w:val="0"/>
        <w:ind w:right="-5"/>
        <w:jc w:val="center"/>
        <w:rPr>
          <w:b/>
          <w:sz w:val="24"/>
        </w:rPr>
      </w:pPr>
    </w:p>
    <w:p w:rsidR="00B77285" w:rsidRPr="00B77285" w:rsidRDefault="00B77285" w:rsidP="00B77285">
      <w:pPr>
        <w:pStyle w:val="a7"/>
        <w:suppressAutoHyphens/>
        <w:snapToGrid w:val="0"/>
        <w:ind w:right="-5"/>
        <w:jc w:val="center"/>
        <w:rPr>
          <w:b/>
          <w:sz w:val="24"/>
        </w:rPr>
      </w:pPr>
      <w:r w:rsidRPr="00B77285">
        <w:rPr>
          <w:b/>
          <w:sz w:val="24"/>
        </w:rPr>
        <w:t>Прожитковий мінімум становитиме:</w:t>
      </w:r>
    </w:p>
    <w:tbl>
      <w:tblPr>
        <w:tblW w:w="96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820"/>
        <w:gridCol w:w="1260"/>
        <w:gridCol w:w="1260"/>
        <w:gridCol w:w="1260"/>
      </w:tblGrid>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b/>
                <w:sz w:val="24"/>
              </w:rPr>
            </w:pPr>
            <w:r w:rsidRPr="00B77285">
              <w:rPr>
                <w:b/>
                <w:sz w:val="24"/>
              </w:rPr>
              <w:t>Показники</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2022 рік</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2023 рік</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b/>
                <w:sz w:val="24"/>
              </w:rPr>
            </w:pPr>
            <w:r w:rsidRPr="00B77285">
              <w:rPr>
                <w:b/>
                <w:sz w:val="24"/>
              </w:rPr>
              <w:t>2024 рік</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В розрахунку на одну особу:</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січня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2393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2589</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2778</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липня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2508</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2713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2911</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грудня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2589</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2778</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2972</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Для основних соціальних і демографічних груп населення:</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дітей віком до 6 років:</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січня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2100</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2272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2438</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липня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2201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2381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2555</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грудня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2272</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2438</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2609</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дітей віком від 6 до 18 років:</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січня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2618</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2833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3040</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липня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2744</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2969</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3186</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грудня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2833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3040</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3253</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працездатних осіб:</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січня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2481</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2684</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2880</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липня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2600</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2813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3018</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грудня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2684</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2880</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3082</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осіб, які втратили працездатність:</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січня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1934</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2093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2246</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липня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2027</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2193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2354</w:t>
            </w:r>
          </w:p>
        </w:tc>
      </w:tr>
      <w:tr w:rsidR="00B77285" w:rsidRPr="00B77285" w:rsidTr="002A29D6">
        <w:tc>
          <w:tcPr>
            <w:tcW w:w="582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rPr>
                <w:sz w:val="24"/>
              </w:rPr>
            </w:pPr>
            <w:r w:rsidRPr="00B77285">
              <w:rPr>
                <w:sz w:val="24"/>
              </w:rPr>
              <w:t>- з 1 грудня року (гривні)</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2093</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2246</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B77285" w:rsidRPr="00B77285" w:rsidRDefault="00B77285" w:rsidP="00B77285">
            <w:pPr>
              <w:pStyle w:val="a7"/>
              <w:suppressAutoHyphens/>
              <w:snapToGrid w:val="0"/>
              <w:ind w:right="-5"/>
              <w:jc w:val="center"/>
              <w:rPr>
                <w:sz w:val="24"/>
              </w:rPr>
            </w:pPr>
            <w:r w:rsidRPr="00B77285">
              <w:rPr>
                <w:sz w:val="24"/>
              </w:rPr>
              <w:t>2403</w:t>
            </w:r>
          </w:p>
        </w:tc>
      </w:tr>
    </w:tbl>
    <w:p w:rsidR="00B77285" w:rsidRDefault="00B77285" w:rsidP="00B77285">
      <w:pPr>
        <w:pStyle w:val="a8"/>
        <w:tabs>
          <w:tab w:val="left" w:pos="284"/>
        </w:tabs>
        <w:ind w:left="0"/>
        <w:jc w:val="center"/>
        <w:rPr>
          <w:b/>
          <w:color w:val="000000"/>
          <w:szCs w:val="28"/>
          <w:lang w:eastAsia="uk-UA"/>
        </w:rPr>
      </w:pPr>
    </w:p>
    <w:p w:rsidR="00B77285" w:rsidRPr="00B77285" w:rsidRDefault="00B77285" w:rsidP="00B77285">
      <w:pPr>
        <w:pStyle w:val="a8"/>
        <w:tabs>
          <w:tab w:val="left" w:pos="284"/>
        </w:tabs>
        <w:ind w:left="0"/>
        <w:jc w:val="center"/>
        <w:rPr>
          <w:b/>
          <w:color w:val="000000"/>
          <w:szCs w:val="28"/>
          <w:lang w:eastAsia="uk-UA"/>
        </w:rPr>
      </w:pPr>
    </w:p>
    <w:p w:rsidR="00B77285" w:rsidRPr="00B77285" w:rsidRDefault="00B77285" w:rsidP="00B77285">
      <w:pPr>
        <w:pStyle w:val="a8"/>
        <w:tabs>
          <w:tab w:val="left" w:pos="284"/>
        </w:tabs>
        <w:ind w:left="0"/>
        <w:jc w:val="center"/>
        <w:rPr>
          <w:b/>
          <w:szCs w:val="28"/>
        </w:rPr>
      </w:pPr>
      <w:r w:rsidRPr="00B77285">
        <w:rPr>
          <w:b/>
          <w:color w:val="000000"/>
          <w:szCs w:val="28"/>
          <w:lang w:eastAsia="uk-UA"/>
        </w:rPr>
        <w:lastRenderedPageBreak/>
        <w:t xml:space="preserve">4. Дохідна спроможність бюджету </w:t>
      </w:r>
      <w:r w:rsidRPr="00B77285">
        <w:rPr>
          <w:b/>
          <w:szCs w:val="28"/>
        </w:rPr>
        <w:t>Великосеверинівської сільської</w:t>
      </w:r>
    </w:p>
    <w:p w:rsidR="00B77285" w:rsidRPr="00B77285" w:rsidRDefault="00B77285" w:rsidP="00B77285">
      <w:pPr>
        <w:pStyle w:val="a8"/>
        <w:tabs>
          <w:tab w:val="left" w:pos="284"/>
        </w:tabs>
        <w:ind w:left="0"/>
        <w:jc w:val="center"/>
        <w:rPr>
          <w:b/>
          <w:szCs w:val="28"/>
        </w:rPr>
      </w:pPr>
      <w:r w:rsidRPr="00B77285">
        <w:rPr>
          <w:b/>
          <w:szCs w:val="28"/>
        </w:rPr>
        <w:t>територіальної громади</w:t>
      </w:r>
    </w:p>
    <w:p w:rsidR="00B77285" w:rsidRPr="00B77285" w:rsidRDefault="00B77285" w:rsidP="00B77285">
      <w:pPr>
        <w:tabs>
          <w:tab w:val="left" w:pos="851"/>
        </w:tabs>
        <w:ind w:firstLine="709"/>
        <w:jc w:val="both"/>
        <w:rPr>
          <w:color w:val="000000"/>
          <w:spacing w:val="1"/>
          <w:sz w:val="28"/>
          <w:szCs w:val="28"/>
          <w:lang w:val="uk-UA"/>
        </w:rPr>
      </w:pPr>
      <w:r w:rsidRPr="00B77285">
        <w:rPr>
          <w:color w:val="000000"/>
          <w:spacing w:val="1"/>
          <w:sz w:val="28"/>
          <w:szCs w:val="28"/>
          <w:lang w:val="uk-UA"/>
        </w:rPr>
        <w:t xml:space="preserve">Прогноз доходів бюджету </w:t>
      </w:r>
      <w:r w:rsidRPr="00B77285">
        <w:rPr>
          <w:sz w:val="28"/>
          <w:szCs w:val="28"/>
          <w:lang w:val="uk-UA"/>
        </w:rPr>
        <w:t xml:space="preserve">Великосеверинівської сільської </w:t>
      </w:r>
      <w:r w:rsidRPr="00B77285">
        <w:rPr>
          <w:color w:val="000000"/>
          <w:spacing w:val="1"/>
          <w:sz w:val="28"/>
          <w:szCs w:val="28"/>
          <w:lang w:val="uk-UA"/>
        </w:rPr>
        <w:t>територіальної громади на 2022-2024 роки розроблено з урахуванням заходів, спрямованих на реалізацію бюджетно-податкової політики, стабільності податково-бюджетної системи; зростання надходжень та підвищення життєвого рівня населення громади.</w:t>
      </w:r>
    </w:p>
    <w:p w:rsidR="00B77285" w:rsidRPr="00B77285" w:rsidRDefault="00B77285" w:rsidP="00B77285">
      <w:pPr>
        <w:pStyle w:val="a3"/>
        <w:ind w:firstLine="709"/>
        <w:jc w:val="both"/>
        <w:rPr>
          <w:sz w:val="28"/>
          <w:szCs w:val="28"/>
        </w:rPr>
      </w:pPr>
      <w:r w:rsidRPr="00B77285">
        <w:rPr>
          <w:sz w:val="28"/>
          <w:szCs w:val="28"/>
        </w:rPr>
        <w:t>З метою правового регулювання господарських і адміністративних відносин між органом місцевого самоврядування та суб’єктами господарювання, недопущення суперечливих ситуацій, безумовного виконання вимог Податкового кодексу України, прийнято рішення «Про встановлення місцевих податків і зборів на території Великосеверинівської територіальної громади на 2022 рік».</w:t>
      </w:r>
    </w:p>
    <w:p w:rsidR="00B77285" w:rsidRPr="00B77285" w:rsidRDefault="00B77285" w:rsidP="00B77285">
      <w:pPr>
        <w:tabs>
          <w:tab w:val="left" w:pos="851"/>
        </w:tabs>
        <w:ind w:firstLine="709"/>
        <w:jc w:val="both"/>
        <w:rPr>
          <w:color w:val="000000"/>
          <w:spacing w:val="1"/>
          <w:sz w:val="28"/>
          <w:szCs w:val="28"/>
          <w:lang w:val="uk-UA"/>
        </w:rPr>
      </w:pPr>
      <w:r w:rsidRPr="00B77285">
        <w:rPr>
          <w:color w:val="000000"/>
          <w:spacing w:val="1"/>
          <w:sz w:val="28"/>
          <w:szCs w:val="28"/>
          <w:lang w:val="uk-UA"/>
        </w:rPr>
        <w:t>Пріоритетними завданнями податкової політики на середньострокову перспективу, є:</w:t>
      </w:r>
    </w:p>
    <w:p w:rsidR="00B77285" w:rsidRPr="00B77285" w:rsidRDefault="00B77285" w:rsidP="00B77285">
      <w:pPr>
        <w:pStyle w:val="a8"/>
        <w:numPr>
          <w:ilvl w:val="0"/>
          <w:numId w:val="3"/>
        </w:numPr>
        <w:tabs>
          <w:tab w:val="left" w:pos="851"/>
        </w:tabs>
        <w:ind w:left="0" w:firstLine="709"/>
        <w:rPr>
          <w:color w:val="000000"/>
          <w:spacing w:val="1"/>
          <w:szCs w:val="28"/>
        </w:rPr>
      </w:pPr>
      <w:r w:rsidRPr="00B77285">
        <w:rPr>
          <w:color w:val="000000"/>
          <w:spacing w:val="1"/>
          <w:szCs w:val="28"/>
        </w:rPr>
        <w:t>забезпечення стабільності податкової системи, спрямованої на підвищення ефективності податкового адміністрування, у тому числі місцевих податків і зборів;</w:t>
      </w:r>
    </w:p>
    <w:p w:rsidR="00B77285" w:rsidRPr="00B77285" w:rsidRDefault="00B77285" w:rsidP="00B77285">
      <w:pPr>
        <w:pStyle w:val="a8"/>
        <w:numPr>
          <w:ilvl w:val="0"/>
          <w:numId w:val="3"/>
        </w:numPr>
        <w:tabs>
          <w:tab w:val="left" w:pos="851"/>
        </w:tabs>
        <w:ind w:left="0" w:firstLine="709"/>
        <w:rPr>
          <w:color w:val="000000"/>
          <w:spacing w:val="1"/>
          <w:szCs w:val="28"/>
        </w:rPr>
      </w:pPr>
      <w:r w:rsidRPr="00B77285">
        <w:rPr>
          <w:color w:val="000000"/>
          <w:spacing w:val="1"/>
          <w:szCs w:val="28"/>
        </w:rPr>
        <w:t>мінімізація можливостей для зловживань;</w:t>
      </w:r>
    </w:p>
    <w:p w:rsidR="00B77285" w:rsidRPr="00B77285" w:rsidRDefault="00B77285" w:rsidP="00B77285">
      <w:pPr>
        <w:pStyle w:val="a8"/>
        <w:numPr>
          <w:ilvl w:val="0"/>
          <w:numId w:val="3"/>
        </w:numPr>
        <w:tabs>
          <w:tab w:val="left" w:pos="851"/>
        </w:tabs>
        <w:ind w:left="0" w:firstLine="709"/>
        <w:rPr>
          <w:color w:val="000000"/>
          <w:spacing w:val="1"/>
          <w:szCs w:val="28"/>
        </w:rPr>
      </w:pPr>
      <w:r w:rsidRPr="00B77285">
        <w:rPr>
          <w:color w:val="000000"/>
          <w:spacing w:val="1"/>
          <w:szCs w:val="28"/>
        </w:rPr>
        <w:t>удосконалення бюджетного планування та</w:t>
      </w:r>
      <w:r w:rsidRPr="00B77285">
        <w:rPr>
          <w:szCs w:val="28"/>
        </w:rPr>
        <w:t xml:space="preserve"> запровадження середньострокового бюджетного планування</w:t>
      </w:r>
      <w:r w:rsidRPr="00B77285">
        <w:rPr>
          <w:color w:val="000000"/>
          <w:spacing w:val="1"/>
          <w:szCs w:val="28"/>
        </w:rPr>
        <w:t>;</w:t>
      </w:r>
    </w:p>
    <w:p w:rsidR="00B77285" w:rsidRPr="00B77285" w:rsidRDefault="00B77285" w:rsidP="00B77285">
      <w:pPr>
        <w:pStyle w:val="a8"/>
        <w:numPr>
          <w:ilvl w:val="0"/>
          <w:numId w:val="3"/>
        </w:numPr>
        <w:tabs>
          <w:tab w:val="left" w:pos="851"/>
        </w:tabs>
        <w:ind w:left="0" w:firstLine="709"/>
        <w:rPr>
          <w:color w:val="000000"/>
          <w:spacing w:val="1"/>
          <w:szCs w:val="28"/>
        </w:rPr>
      </w:pPr>
      <w:r w:rsidRPr="00B77285">
        <w:rPr>
          <w:color w:val="000000"/>
          <w:spacing w:val="1"/>
          <w:szCs w:val="28"/>
        </w:rPr>
        <w:t>зміцнення фінансової спроможності бюджету шляхом забезпечення надходжень з урахуванням позитивної динаміки у порівнянні з попереднім роком.</w:t>
      </w:r>
    </w:p>
    <w:p w:rsidR="00B77285" w:rsidRPr="00B77285" w:rsidRDefault="00B77285" w:rsidP="00B77285">
      <w:pPr>
        <w:tabs>
          <w:tab w:val="left" w:pos="851"/>
        </w:tabs>
        <w:ind w:firstLine="709"/>
        <w:jc w:val="both"/>
        <w:rPr>
          <w:color w:val="000000"/>
          <w:spacing w:val="1"/>
          <w:sz w:val="28"/>
          <w:szCs w:val="28"/>
          <w:lang w:val="uk-UA"/>
        </w:rPr>
      </w:pPr>
      <w:r w:rsidRPr="00B77285">
        <w:rPr>
          <w:color w:val="000000"/>
          <w:spacing w:val="1"/>
          <w:sz w:val="28"/>
          <w:szCs w:val="28"/>
          <w:lang w:val="uk-UA"/>
        </w:rPr>
        <w:t>Прогноз доходів бюджету враховує прогнозні індекси цін виробників;</w:t>
      </w:r>
    </w:p>
    <w:p w:rsidR="00B77285" w:rsidRPr="00B77285" w:rsidRDefault="00B77285" w:rsidP="00B77285">
      <w:pPr>
        <w:tabs>
          <w:tab w:val="left" w:pos="851"/>
        </w:tabs>
        <w:jc w:val="both"/>
        <w:rPr>
          <w:color w:val="000000"/>
          <w:spacing w:val="1"/>
          <w:sz w:val="28"/>
          <w:szCs w:val="28"/>
          <w:lang w:val="uk-UA"/>
        </w:rPr>
      </w:pPr>
      <w:r w:rsidRPr="00B77285">
        <w:rPr>
          <w:color w:val="000000"/>
          <w:spacing w:val="1"/>
          <w:sz w:val="28"/>
          <w:szCs w:val="28"/>
          <w:lang w:val="uk-UA"/>
        </w:rPr>
        <w:t>підвищення розміру мінімальної заробітної плати та доходів населення; тенденції надходжень податків за останні роки.</w:t>
      </w:r>
    </w:p>
    <w:p w:rsidR="00B77285" w:rsidRPr="00B77285" w:rsidRDefault="00B77285" w:rsidP="00B77285">
      <w:pPr>
        <w:tabs>
          <w:tab w:val="left" w:pos="851"/>
        </w:tabs>
        <w:ind w:firstLine="709"/>
        <w:jc w:val="both"/>
        <w:rPr>
          <w:color w:val="000000"/>
          <w:spacing w:val="1"/>
          <w:sz w:val="28"/>
          <w:szCs w:val="28"/>
          <w:lang w:val="uk-UA"/>
        </w:rPr>
      </w:pPr>
      <w:r w:rsidRPr="00B77285">
        <w:rPr>
          <w:color w:val="000000"/>
          <w:spacing w:val="1"/>
          <w:sz w:val="28"/>
          <w:szCs w:val="28"/>
          <w:lang w:val="uk-UA"/>
        </w:rPr>
        <w:t xml:space="preserve">Основними бюджетоутворюючими податками бюджету </w:t>
      </w:r>
      <w:r w:rsidRPr="00B77285">
        <w:rPr>
          <w:sz w:val="28"/>
          <w:szCs w:val="28"/>
          <w:lang w:val="uk-UA"/>
        </w:rPr>
        <w:t>Великосеверинівської</w:t>
      </w:r>
      <w:r>
        <w:rPr>
          <w:sz w:val="28"/>
          <w:szCs w:val="28"/>
          <w:lang w:val="uk-UA"/>
        </w:rPr>
        <w:t xml:space="preserve"> </w:t>
      </w:r>
      <w:r w:rsidRPr="00B77285">
        <w:rPr>
          <w:sz w:val="28"/>
          <w:szCs w:val="28"/>
          <w:lang w:val="uk-UA"/>
        </w:rPr>
        <w:t xml:space="preserve">сільської  </w:t>
      </w:r>
      <w:r w:rsidRPr="00B77285">
        <w:rPr>
          <w:color w:val="000000"/>
          <w:spacing w:val="1"/>
          <w:sz w:val="28"/>
          <w:szCs w:val="28"/>
          <w:lang w:val="uk-UA"/>
        </w:rPr>
        <w:t xml:space="preserve">територіальної громади залишаються: податок на доходи фізичних осіб, </w:t>
      </w:r>
      <w:r w:rsidRPr="00B77285">
        <w:rPr>
          <w:sz w:val="28"/>
          <w:szCs w:val="28"/>
          <w:lang w:val="uk-UA" w:eastAsia="uk-UA"/>
        </w:rPr>
        <w:t>акцизний податок, податок на майно,</w:t>
      </w:r>
      <w:r w:rsidRPr="00B77285">
        <w:rPr>
          <w:color w:val="000000"/>
          <w:spacing w:val="1"/>
          <w:sz w:val="28"/>
          <w:szCs w:val="28"/>
          <w:lang w:val="uk-UA"/>
        </w:rPr>
        <w:t xml:space="preserve">єдиний податок та плата за землю, </w:t>
      </w:r>
      <w:r w:rsidRPr="00B77285">
        <w:rPr>
          <w:sz w:val="28"/>
          <w:szCs w:val="28"/>
          <w:lang w:val="uk-UA" w:eastAsia="uk-UA"/>
        </w:rPr>
        <w:t>податок на нерухоме майно,</w:t>
      </w:r>
      <w:r w:rsidRPr="00B77285">
        <w:rPr>
          <w:color w:val="000000"/>
          <w:spacing w:val="1"/>
          <w:sz w:val="28"/>
          <w:szCs w:val="28"/>
          <w:lang w:val="uk-UA"/>
        </w:rPr>
        <w:t xml:space="preserve">які наповнюють загальний фонд бюджету на 90,8%. </w:t>
      </w:r>
    </w:p>
    <w:p w:rsidR="00B77285" w:rsidRPr="00B77285" w:rsidRDefault="00B77285" w:rsidP="00B77285">
      <w:pPr>
        <w:pStyle w:val="a3"/>
        <w:ind w:firstLine="709"/>
        <w:jc w:val="both"/>
        <w:rPr>
          <w:sz w:val="28"/>
          <w:szCs w:val="28"/>
        </w:rPr>
      </w:pPr>
      <w:r w:rsidRPr="00B77285">
        <w:rPr>
          <w:sz w:val="28"/>
          <w:szCs w:val="28"/>
        </w:rPr>
        <w:t>Основними цілями є:</w:t>
      </w:r>
    </w:p>
    <w:p w:rsidR="00B77285" w:rsidRPr="00B77285" w:rsidRDefault="00B77285" w:rsidP="00B77285">
      <w:pPr>
        <w:pStyle w:val="a3"/>
        <w:ind w:firstLine="709"/>
        <w:jc w:val="both"/>
        <w:rPr>
          <w:sz w:val="28"/>
          <w:szCs w:val="28"/>
        </w:rPr>
      </w:pPr>
      <w:r w:rsidRPr="00B77285">
        <w:rPr>
          <w:sz w:val="28"/>
          <w:szCs w:val="28"/>
        </w:rPr>
        <w:t>-</w:t>
      </w:r>
      <w:r>
        <w:rPr>
          <w:sz w:val="28"/>
          <w:szCs w:val="28"/>
        </w:rPr>
        <w:t xml:space="preserve"> </w:t>
      </w:r>
      <w:r w:rsidRPr="00B77285">
        <w:rPr>
          <w:sz w:val="28"/>
          <w:szCs w:val="28"/>
        </w:rPr>
        <w:t>врегулювання місцевих податків та зборів на території Великосеверинівської ТГ відповідно до Закону України «Про засади державної регуляторної політики у сфері господарської діяльності» та Податкового кодексу України;</w:t>
      </w:r>
    </w:p>
    <w:p w:rsidR="00B77285" w:rsidRPr="00B77285" w:rsidRDefault="00B77285" w:rsidP="00B77285">
      <w:pPr>
        <w:pStyle w:val="a3"/>
        <w:ind w:firstLine="709"/>
        <w:jc w:val="both"/>
        <w:rPr>
          <w:sz w:val="28"/>
          <w:szCs w:val="28"/>
        </w:rPr>
      </w:pPr>
      <w:r w:rsidRPr="00B77285">
        <w:rPr>
          <w:sz w:val="28"/>
          <w:szCs w:val="28"/>
        </w:rPr>
        <w:t>-</w:t>
      </w:r>
      <w:r>
        <w:rPr>
          <w:sz w:val="28"/>
          <w:szCs w:val="28"/>
        </w:rPr>
        <w:t xml:space="preserve"> </w:t>
      </w:r>
      <w:r w:rsidRPr="00B77285">
        <w:rPr>
          <w:sz w:val="28"/>
          <w:szCs w:val="28"/>
        </w:rPr>
        <w:t>встановлення доцільних та обґрунтованих розмірів ставок місцевих податків, зокрема по податку на майно (податку на нерухоме майно, відмінне від земельної ділянки, плати за землю, транспортного податку), по єдиному податку (фізичним особам 1, 2 груп), туристичного збору, відповідно до вимог Податкового кодексу України,які б враховували особливості території, інтереси громадян і суб’єктів господарювання та дозволили б збільшити наповнення дохідної частини місцевого бюджету;</w:t>
      </w:r>
    </w:p>
    <w:p w:rsidR="00B77285" w:rsidRPr="00B77285" w:rsidRDefault="00B77285" w:rsidP="00B77285">
      <w:pPr>
        <w:pStyle w:val="a3"/>
        <w:ind w:firstLine="709"/>
        <w:jc w:val="both"/>
        <w:rPr>
          <w:sz w:val="28"/>
          <w:szCs w:val="28"/>
        </w:rPr>
      </w:pPr>
      <w:r w:rsidRPr="00B77285">
        <w:rPr>
          <w:sz w:val="28"/>
          <w:szCs w:val="28"/>
        </w:rPr>
        <w:lastRenderedPageBreak/>
        <w:t>-</w:t>
      </w:r>
      <w:r>
        <w:rPr>
          <w:sz w:val="28"/>
          <w:szCs w:val="28"/>
        </w:rPr>
        <w:t xml:space="preserve"> </w:t>
      </w:r>
      <w:r w:rsidRPr="00B77285">
        <w:rPr>
          <w:sz w:val="28"/>
          <w:szCs w:val="28"/>
        </w:rPr>
        <w:t>забезпечення прозорості та відкритості надходження та використання коштів бюджету;</w:t>
      </w:r>
    </w:p>
    <w:p w:rsidR="00B77285" w:rsidRPr="00B77285" w:rsidRDefault="00B77285" w:rsidP="00B77285">
      <w:pPr>
        <w:pStyle w:val="a3"/>
        <w:ind w:firstLine="709"/>
        <w:jc w:val="both"/>
        <w:rPr>
          <w:sz w:val="28"/>
          <w:szCs w:val="28"/>
        </w:rPr>
      </w:pPr>
      <w:r w:rsidRPr="00B77285">
        <w:rPr>
          <w:sz w:val="28"/>
          <w:szCs w:val="28"/>
        </w:rPr>
        <w:t>-</w:t>
      </w:r>
      <w:r>
        <w:rPr>
          <w:sz w:val="28"/>
          <w:szCs w:val="28"/>
        </w:rPr>
        <w:t xml:space="preserve"> </w:t>
      </w:r>
      <w:r w:rsidRPr="00B77285">
        <w:rPr>
          <w:sz w:val="28"/>
          <w:szCs w:val="28"/>
        </w:rPr>
        <w:t>встановлення пільг, щодо сплати податку на нерухоме майно, відмінне від земельної ділянки та зі сплати земельного податку;</w:t>
      </w:r>
    </w:p>
    <w:p w:rsidR="00B77285" w:rsidRPr="00B77285" w:rsidRDefault="00B77285" w:rsidP="00B77285">
      <w:pPr>
        <w:pStyle w:val="a3"/>
        <w:ind w:firstLine="709"/>
        <w:jc w:val="both"/>
        <w:rPr>
          <w:sz w:val="28"/>
          <w:szCs w:val="28"/>
        </w:rPr>
      </w:pPr>
      <w:r w:rsidRPr="00B77285">
        <w:rPr>
          <w:sz w:val="28"/>
          <w:szCs w:val="28"/>
        </w:rPr>
        <w:t>-</w:t>
      </w:r>
      <w:r>
        <w:rPr>
          <w:sz w:val="28"/>
          <w:szCs w:val="28"/>
        </w:rPr>
        <w:t xml:space="preserve"> </w:t>
      </w:r>
      <w:r w:rsidRPr="00B77285">
        <w:rPr>
          <w:sz w:val="28"/>
          <w:szCs w:val="28"/>
        </w:rPr>
        <w:t>забезпечення максимальної прозорості та відкритості органів місцевого самоврядування та вдосконалення відносин між сільською радою та суб’єктами господарювання, пов’язаними з оподаткуванням місцевими податками.</w:t>
      </w:r>
    </w:p>
    <w:p w:rsidR="00B77285" w:rsidRPr="00B77285" w:rsidRDefault="00B77285" w:rsidP="00B77285">
      <w:pPr>
        <w:tabs>
          <w:tab w:val="left" w:pos="851"/>
        </w:tabs>
        <w:ind w:firstLine="709"/>
        <w:jc w:val="both"/>
        <w:rPr>
          <w:spacing w:val="1"/>
          <w:sz w:val="28"/>
          <w:szCs w:val="28"/>
          <w:lang w:val="uk-UA"/>
        </w:rPr>
      </w:pPr>
      <w:r w:rsidRPr="00B77285">
        <w:rPr>
          <w:color w:val="000000"/>
          <w:spacing w:val="1"/>
          <w:sz w:val="28"/>
          <w:szCs w:val="28"/>
          <w:lang w:val="uk-UA"/>
        </w:rPr>
        <w:t xml:space="preserve">З метою недопущення втрат бюджету, Великосеверинівська сільська рада протягом останніх років не приймала рішень щодо звільнення суб’єктів </w:t>
      </w:r>
      <w:r w:rsidRPr="00B77285">
        <w:rPr>
          <w:spacing w:val="1"/>
          <w:sz w:val="28"/>
          <w:szCs w:val="28"/>
          <w:lang w:val="uk-UA"/>
        </w:rPr>
        <w:t>господарювання від сплати місцевих податків та зборів.</w:t>
      </w:r>
    </w:p>
    <w:p w:rsidR="00B77285" w:rsidRPr="00B77285" w:rsidRDefault="00B77285" w:rsidP="00B77285">
      <w:pPr>
        <w:tabs>
          <w:tab w:val="left" w:pos="851"/>
        </w:tabs>
        <w:ind w:firstLine="709"/>
        <w:jc w:val="both"/>
        <w:rPr>
          <w:spacing w:val="1"/>
          <w:sz w:val="28"/>
          <w:szCs w:val="28"/>
          <w:lang w:val="uk-UA"/>
        </w:rPr>
      </w:pPr>
      <w:r w:rsidRPr="00B77285">
        <w:rPr>
          <w:spacing w:val="1"/>
          <w:sz w:val="28"/>
          <w:szCs w:val="28"/>
          <w:lang w:val="uk-UA"/>
        </w:rPr>
        <w:t>Доходи бюджету Великосеверинівської сільської територіальної громади на 2022-2024 роки визначені у додатку 2 до цього Прогнозу.</w:t>
      </w:r>
    </w:p>
    <w:p w:rsidR="00B77285" w:rsidRPr="00B77285" w:rsidRDefault="00B77285" w:rsidP="00B77285">
      <w:pPr>
        <w:tabs>
          <w:tab w:val="left" w:pos="851"/>
        </w:tabs>
        <w:ind w:firstLine="709"/>
        <w:jc w:val="both"/>
        <w:rPr>
          <w:spacing w:val="1"/>
          <w:sz w:val="28"/>
          <w:szCs w:val="28"/>
          <w:lang w:val="uk-UA"/>
        </w:rPr>
      </w:pPr>
    </w:p>
    <w:p w:rsidR="00B77285" w:rsidRPr="00B77285" w:rsidRDefault="00B77285" w:rsidP="00B77285">
      <w:pPr>
        <w:pStyle w:val="a8"/>
        <w:tabs>
          <w:tab w:val="left" w:pos="284"/>
        </w:tabs>
        <w:ind w:left="0" w:firstLine="709"/>
        <w:jc w:val="center"/>
        <w:rPr>
          <w:b/>
          <w:szCs w:val="28"/>
        </w:rPr>
      </w:pPr>
      <w:r w:rsidRPr="00B77285">
        <w:rPr>
          <w:b/>
          <w:color w:val="000000"/>
          <w:spacing w:val="1"/>
          <w:szCs w:val="28"/>
        </w:rPr>
        <w:t>5.</w:t>
      </w:r>
      <w:r w:rsidRPr="00B77285">
        <w:rPr>
          <w:b/>
          <w:szCs w:val="28"/>
        </w:rPr>
        <w:t>Фінансове забезпечення пріоритетних напрямів розвитку</w:t>
      </w:r>
    </w:p>
    <w:p w:rsidR="00B77285" w:rsidRPr="00B77285" w:rsidRDefault="00B77285" w:rsidP="00B77285">
      <w:pPr>
        <w:tabs>
          <w:tab w:val="left" w:pos="851"/>
        </w:tabs>
        <w:ind w:firstLine="709"/>
        <w:jc w:val="both"/>
        <w:rPr>
          <w:sz w:val="28"/>
          <w:szCs w:val="28"/>
          <w:lang w:val="uk-UA"/>
        </w:rPr>
      </w:pPr>
      <w:r w:rsidRPr="00B77285">
        <w:rPr>
          <w:sz w:val="28"/>
          <w:szCs w:val="28"/>
          <w:lang w:val="uk-UA"/>
        </w:rPr>
        <w:t xml:space="preserve">Основними завданнями усіх учасників бюджетного процесу на середньостроковий період є здійснення заходів загальнодержавного та місцевого значення з проведення дієвих реформ в усіх сферах діяльності з максимально можливим економічним ефектом при мінімальних затратах та підвищення ефективності </w:t>
      </w:r>
      <w:r w:rsidRPr="00B77285">
        <w:rPr>
          <w:b/>
          <w:sz w:val="28"/>
          <w:szCs w:val="28"/>
          <w:lang w:val="uk-UA"/>
        </w:rPr>
        <w:t>використання бюджетних коштів в умовах жорсткої економії</w:t>
      </w:r>
      <w:r w:rsidRPr="00B77285">
        <w:rPr>
          <w:sz w:val="28"/>
          <w:szCs w:val="28"/>
          <w:lang w:val="uk-UA"/>
        </w:rPr>
        <w:t>, проведення роботи з оптимізації мережі галузей бюджетної сфери, впровадження ефективних заходів з енергозбереження, спрямування капітальних вкладень на підвищення комфортності умов проживання, запровадження та збільшення обсягу платних послуг, що надаються бюджетними установами.</w:t>
      </w:r>
    </w:p>
    <w:p w:rsidR="00B77285" w:rsidRPr="00B77285" w:rsidRDefault="00B77285" w:rsidP="00B77285">
      <w:pPr>
        <w:pStyle w:val="Default"/>
        <w:tabs>
          <w:tab w:val="left" w:pos="851"/>
        </w:tabs>
        <w:spacing w:before="60"/>
        <w:ind w:firstLine="709"/>
        <w:jc w:val="both"/>
        <w:rPr>
          <w:sz w:val="28"/>
          <w:szCs w:val="28"/>
          <w:lang w:val="uk-UA"/>
        </w:rPr>
      </w:pPr>
      <w:r w:rsidRPr="00B77285">
        <w:rPr>
          <w:b/>
          <w:sz w:val="28"/>
          <w:szCs w:val="28"/>
          <w:lang w:val="uk-UA"/>
        </w:rPr>
        <w:t>У галузі державного управління</w:t>
      </w:r>
      <w:r w:rsidRPr="00B77285">
        <w:rPr>
          <w:sz w:val="28"/>
          <w:szCs w:val="28"/>
          <w:lang w:val="uk-UA"/>
        </w:rPr>
        <w:t xml:space="preserve"> пріоритетним завданням є надання виконавчими органами Великосеверинівської сільської ради високоякісних і доступних адміністративних, соціальних та інших послуг населенню, створення належних матеріальних, фінансових та організаційних умов для забезпечення здійснення власних та делегованих повноважень, визначених Конституцією України, Законом України «Про місцеве самоврядування в Україні» та іншими законами України. </w:t>
      </w:r>
    </w:p>
    <w:p w:rsidR="00B77285" w:rsidRPr="00B77285" w:rsidRDefault="00B77285" w:rsidP="00B77285">
      <w:pPr>
        <w:pStyle w:val="Default"/>
        <w:tabs>
          <w:tab w:val="left" w:pos="851"/>
        </w:tabs>
        <w:ind w:firstLine="709"/>
        <w:jc w:val="both"/>
        <w:rPr>
          <w:sz w:val="28"/>
          <w:szCs w:val="28"/>
          <w:lang w:val="uk-UA"/>
        </w:rPr>
      </w:pPr>
      <w:r w:rsidRPr="00B77285">
        <w:rPr>
          <w:sz w:val="28"/>
          <w:szCs w:val="28"/>
          <w:lang w:val="uk-UA"/>
        </w:rPr>
        <w:t xml:space="preserve">У 2022- 2024 роках передбачається здійснити такі заходи: </w:t>
      </w:r>
    </w:p>
    <w:p w:rsidR="00B77285" w:rsidRPr="00B77285" w:rsidRDefault="00B77285" w:rsidP="00B77285">
      <w:pPr>
        <w:pStyle w:val="Default"/>
        <w:numPr>
          <w:ilvl w:val="0"/>
          <w:numId w:val="9"/>
        </w:numPr>
        <w:tabs>
          <w:tab w:val="left" w:pos="851"/>
        </w:tabs>
        <w:ind w:left="0" w:firstLine="709"/>
        <w:jc w:val="both"/>
        <w:rPr>
          <w:sz w:val="28"/>
          <w:szCs w:val="28"/>
          <w:lang w:val="uk-UA"/>
        </w:rPr>
      </w:pPr>
      <w:r w:rsidRPr="00B77285">
        <w:rPr>
          <w:sz w:val="28"/>
          <w:szCs w:val="28"/>
          <w:lang w:val="uk-UA"/>
        </w:rPr>
        <w:t>забезпечення принципу прозорості у діяльності виконавчих органів сільської ради;</w:t>
      </w:r>
    </w:p>
    <w:p w:rsidR="00B77285" w:rsidRPr="00B77285" w:rsidRDefault="00B77285" w:rsidP="00B77285">
      <w:pPr>
        <w:pStyle w:val="Default"/>
        <w:numPr>
          <w:ilvl w:val="0"/>
          <w:numId w:val="9"/>
        </w:numPr>
        <w:tabs>
          <w:tab w:val="left" w:pos="851"/>
        </w:tabs>
        <w:ind w:left="0" w:firstLine="709"/>
        <w:jc w:val="both"/>
        <w:rPr>
          <w:sz w:val="28"/>
          <w:szCs w:val="28"/>
          <w:lang w:val="uk-UA"/>
        </w:rPr>
      </w:pPr>
      <w:r w:rsidRPr="00B77285">
        <w:rPr>
          <w:sz w:val="28"/>
          <w:szCs w:val="28"/>
          <w:lang w:val="uk-UA"/>
        </w:rPr>
        <w:t xml:space="preserve">впровадження інформаційних технологій та електронного документообігу; </w:t>
      </w:r>
    </w:p>
    <w:p w:rsidR="00B77285" w:rsidRPr="00B77285" w:rsidRDefault="00B77285" w:rsidP="00B77285">
      <w:pPr>
        <w:pStyle w:val="Default"/>
        <w:numPr>
          <w:ilvl w:val="0"/>
          <w:numId w:val="9"/>
        </w:numPr>
        <w:tabs>
          <w:tab w:val="left" w:pos="851"/>
        </w:tabs>
        <w:ind w:left="0" w:firstLine="709"/>
        <w:jc w:val="both"/>
        <w:rPr>
          <w:sz w:val="28"/>
          <w:szCs w:val="28"/>
          <w:lang w:val="uk-UA"/>
        </w:rPr>
      </w:pPr>
      <w:r w:rsidRPr="00B77285">
        <w:rPr>
          <w:sz w:val="28"/>
          <w:szCs w:val="28"/>
          <w:lang w:val="uk-UA"/>
        </w:rPr>
        <w:t>створення Центру з надання адміністративних та соціальних послуг Великосеверинівської сільської ради.;</w:t>
      </w:r>
    </w:p>
    <w:p w:rsidR="00B77285" w:rsidRPr="00B77285" w:rsidRDefault="00B77285" w:rsidP="00B77285">
      <w:pPr>
        <w:pStyle w:val="Default"/>
        <w:numPr>
          <w:ilvl w:val="0"/>
          <w:numId w:val="9"/>
        </w:numPr>
        <w:tabs>
          <w:tab w:val="left" w:pos="851"/>
        </w:tabs>
        <w:ind w:left="0" w:firstLine="709"/>
        <w:jc w:val="both"/>
        <w:rPr>
          <w:sz w:val="28"/>
          <w:szCs w:val="28"/>
          <w:lang w:val="uk-UA"/>
        </w:rPr>
      </w:pPr>
      <w:r w:rsidRPr="00B77285">
        <w:rPr>
          <w:sz w:val="28"/>
          <w:szCs w:val="28"/>
          <w:lang w:val="uk-UA"/>
        </w:rPr>
        <w:t>продовження проєкту громадського бюджету, направленого на залучення мешканців громада до участі у бюджетному процесі.</w:t>
      </w:r>
    </w:p>
    <w:p w:rsidR="00B77285" w:rsidRPr="00B77285" w:rsidRDefault="00B77285" w:rsidP="00B77285">
      <w:pPr>
        <w:pStyle w:val="a8"/>
        <w:tabs>
          <w:tab w:val="left" w:pos="851"/>
        </w:tabs>
        <w:ind w:left="0" w:firstLine="709"/>
        <w:rPr>
          <w:szCs w:val="28"/>
        </w:rPr>
      </w:pPr>
      <w:r w:rsidRPr="00B77285">
        <w:rPr>
          <w:szCs w:val="28"/>
        </w:rPr>
        <w:t>Основними результатами, яких досягти, є:</w:t>
      </w:r>
    </w:p>
    <w:p w:rsidR="00B77285" w:rsidRPr="00B77285" w:rsidRDefault="00B77285" w:rsidP="00B77285">
      <w:pPr>
        <w:pStyle w:val="a8"/>
        <w:numPr>
          <w:ilvl w:val="0"/>
          <w:numId w:val="9"/>
        </w:numPr>
        <w:tabs>
          <w:tab w:val="left" w:pos="851"/>
        </w:tabs>
        <w:spacing w:after="200"/>
        <w:ind w:left="0" w:firstLine="709"/>
        <w:rPr>
          <w:szCs w:val="28"/>
        </w:rPr>
      </w:pPr>
      <w:r w:rsidRPr="00B77285">
        <w:rPr>
          <w:szCs w:val="28"/>
        </w:rPr>
        <w:t>забезпечення якісного, максимально зручного та комфортного обслуговування громадян;</w:t>
      </w:r>
    </w:p>
    <w:p w:rsidR="00B77285" w:rsidRPr="00B77285" w:rsidRDefault="00B77285" w:rsidP="00B77285">
      <w:pPr>
        <w:pStyle w:val="a8"/>
        <w:numPr>
          <w:ilvl w:val="0"/>
          <w:numId w:val="9"/>
        </w:numPr>
        <w:tabs>
          <w:tab w:val="left" w:pos="851"/>
        </w:tabs>
        <w:spacing w:after="200"/>
        <w:ind w:left="0" w:firstLine="709"/>
        <w:rPr>
          <w:szCs w:val="28"/>
        </w:rPr>
      </w:pPr>
      <w:r w:rsidRPr="00B77285">
        <w:rPr>
          <w:szCs w:val="28"/>
        </w:rPr>
        <w:lastRenderedPageBreak/>
        <w:t>організація надання адміністративних та соціальних послуг населенню у найкоротший строк та за мінімальної кількості відвідувань;</w:t>
      </w:r>
    </w:p>
    <w:p w:rsidR="00B77285" w:rsidRPr="00B77285" w:rsidRDefault="00B77285" w:rsidP="00B77285">
      <w:pPr>
        <w:pStyle w:val="a8"/>
        <w:numPr>
          <w:ilvl w:val="0"/>
          <w:numId w:val="9"/>
        </w:numPr>
        <w:tabs>
          <w:tab w:val="left" w:pos="851"/>
        </w:tabs>
        <w:spacing w:after="200"/>
        <w:ind w:left="0" w:firstLine="0"/>
        <w:rPr>
          <w:szCs w:val="28"/>
        </w:rPr>
      </w:pPr>
      <w:r w:rsidRPr="00B77285">
        <w:rPr>
          <w:szCs w:val="28"/>
        </w:rPr>
        <w:t>розширення переліку надання адміністративних та соціальних послуг;</w:t>
      </w:r>
    </w:p>
    <w:p w:rsidR="00B77285" w:rsidRPr="00B77285" w:rsidRDefault="00B77285" w:rsidP="00B77285">
      <w:pPr>
        <w:pStyle w:val="a8"/>
        <w:numPr>
          <w:ilvl w:val="0"/>
          <w:numId w:val="9"/>
        </w:numPr>
        <w:tabs>
          <w:tab w:val="left" w:pos="851"/>
          <w:tab w:val="left" w:pos="9639"/>
        </w:tabs>
        <w:spacing w:after="200"/>
        <w:ind w:left="0" w:right="-1" w:firstLine="0"/>
        <w:rPr>
          <w:szCs w:val="28"/>
        </w:rPr>
      </w:pPr>
      <w:r w:rsidRPr="00B77285">
        <w:rPr>
          <w:szCs w:val="28"/>
        </w:rPr>
        <w:t>забезпечення суб’єктами містобудування вимог законодавства щодо будівельних норм, стандартів і правил у сфері містобудівної діяльності;</w:t>
      </w:r>
    </w:p>
    <w:p w:rsidR="00B77285" w:rsidRPr="00B77285" w:rsidRDefault="00B77285" w:rsidP="00B77285">
      <w:pPr>
        <w:pStyle w:val="a8"/>
        <w:tabs>
          <w:tab w:val="left" w:pos="851"/>
          <w:tab w:val="left" w:pos="9639"/>
        </w:tabs>
        <w:spacing w:after="200"/>
        <w:ind w:left="0"/>
        <w:rPr>
          <w:szCs w:val="28"/>
        </w:rPr>
      </w:pPr>
      <w:r w:rsidRPr="00B77285">
        <w:rPr>
          <w:szCs w:val="28"/>
        </w:rPr>
        <w:tab/>
      </w:r>
      <w:r w:rsidRPr="00B77285">
        <w:rPr>
          <w:b/>
          <w:szCs w:val="28"/>
        </w:rPr>
        <w:t xml:space="preserve">У галузі освіти </w:t>
      </w:r>
      <w:r w:rsidRPr="00B77285">
        <w:rPr>
          <w:szCs w:val="28"/>
        </w:rPr>
        <w:t>в умовах розробки на державному рівні подальших кроків реформування галузі та запровадження на місцевому рівні системи її модернізації пріоритетними завданнями розвитку є:</w:t>
      </w:r>
    </w:p>
    <w:p w:rsidR="00B77285" w:rsidRPr="00B77285" w:rsidRDefault="00B77285" w:rsidP="00B77285">
      <w:pPr>
        <w:pStyle w:val="aa"/>
        <w:numPr>
          <w:ilvl w:val="0"/>
          <w:numId w:val="9"/>
        </w:numPr>
        <w:tabs>
          <w:tab w:val="clear" w:pos="8640"/>
          <w:tab w:val="left" w:pos="851"/>
          <w:tab w:val="left" w:pos="9639"/>
        </w:tabs>
        <w:ind w:left="0" w:right="0" w:firstLine="0"/>
        <w:contextualSpacing/>
        <w:rPr>
          <w:sz w:val="28"/>
          <w:szCs w:val="28"/>
        </w:rPr>
      </w:pPr>
      <w:r w:rsidRPr="00B77285">
        <w:rPr>
          <w:sz w:val="28"/>
          <w:szCs w:val="28"/>
        </w:rPr>
        <w:t>забезпечення стабільного функціонування галузі;</w:t>
      </w:r>
    </w:p>
    <w:p w:rsidR="00B77285" w:rsidRPr="00B77285" w:rsidRDefault="00B77285" w:rsidP="00B77285">
      <w:pPr>
        <w:pStyle w:val="aa"/>
        <w:numPr>
          <w:ilvl w:val="0"/>
          <w:numId w:val="9"/>
        </w:numPr>
        <w:tabs>
          <w:tab w:val="clear" w:pos="8640"/>
          <w:tab w:val="left" w:pos="851"/>
          <w:tab w:val="left" w:pos="9639"/>
        </w:tabs>
        <w:ind w:left="0" w:right="0" w:firstLine="0"/>
        <w:contextualSpacing/>
        <w:rPr>
          <w:sz w:val="28"/>
          <w:szCs w:val="28"/>
        </w:rPr>
      </w:pPr>
      <w:r w:rsidRPr="00B77285">
        <w:rPr>
          <w:sz w:val="28"/>
          <w:szCs w:val="28"/>
        </w:rPr>
        <w:t xml:space="preserve">формування здоров’я,як </w:t>
      </w:r>
      <w:proofErr w:type="spellStart"/>
      <w:r w:rsidRPr="00B77285">
        <w:rPr>
          <w:sz w:val="28"/>
          <w:szCs w:val="28"/>
        </w:rPr>
        <w:t>збережувальну</w:t>
      </w:r>
      <w:proofErr w:type="spellEnd"/>
      <w:r w:rsidRPr="00B77285">
        <w:rPr>
          <w:sz w:val="28"/>
          <w:szCs w:val="28"/>
        </w:rPr>
        <w:t xml:space="preserve"> компетентність дитини,  ознайомлення з умовами збереження власного здоров’я, значенням рухової активності та безпечного харчування в зміцненні здоров’я, впливом природних чинників на стан здоров’я;</w:t>
      </w:r>
    </w:p>
    <w:p w:rsidR="00B77285" w:rsidRPr="00B77285" w:rsidRDefault="00B77285" w:rsidP="00B77285">
      <w:pPr>
        <w:pStyle w:val="aa"/>
        <w:numPr>
          <w:ilvl w:val="0"/>
          <w:numId w:val="9"/>
        </w:numPr>
        <w:tabs>
          <w:tab w:val="clear" w:pos="8640"/>
          <w:tab w:val="left" w:pos="851"/>
          <w:tab w:val="left" w:pos="9639"/>
        </w:tabs>
        <w:ind w:left="0" w:right="-1" w:firstLine="709"/>
        <w:rPr>
          <w:sz w:val="28"/>
          <w:szCs w:val="28"/>
        </w:rPr>
      </w:pPr>
      <w:r w:rsidRPr="00B77285">
        <w:rPr>
          <w:sz w:val="28"/>
          <w:szCs w:val="28"/>
        </w:rPr>
        <w:t>виховання дітей до ціннісного ставлення до чистоти довкілля як важливої умови безпечного проживання людини у природному середовищі;</w:t>
      </w:r>
    </w:p>
    <w:p w:rsidR="00B77285" w:rsidRPr="00B77285" w:rsidRDefault="00B77285" w:rsidP="00B77285">
      <w:pPr>
        <w:pStyle w:val="aa"/>
        <w:numPr>
          <w:ilvl w:val="0"/>
          <w:numId w:val="9"/>
        </w:numPr>
        <w:tabs>
          <w:tab w:val="clear" w:pos="8640"/>
          <w:tab w:val="left" w:pos="851"/>
          <w:tab w:val="left" w:pos="9639"/>
        </w:tabs>
        <w:ind w:left="0" w:right="-1" w:firstLine="709"/>
        <w:rPr>
          <w:sz w:val="28"/>
          <w:szCs w:val="28"/>
        </w:rPr>
      </w:pPr>
      <w:r w:rsidRPr="00B77285">
        <w:rPr>
          <w:sz w:val="28"/>
          <w:szCs w:val="28"/>
        </w:rPr>
        <w:t>здійснення методичного супроводу для впровадження в освітній процес інноваційних технологій;</w:t>
      </w:r>
    </w:p>
    <w:p w:rsidR="00B77285" w:rsidRPr="00B77285" w:rsidRDefault="00B77285" w:rsidP="00B77285">
      <w:pPr>
        <w:pStyle w:val="aa"/>
        <w:numPr>
          <w:ilvl w:val="0"/>
          <w:numId w:val="9"/>
        </w:numPr>
        <w:tabs>
          <w:tab w:val="clear" w:pos="8640"/>
          <w:tab w:val="left" w:pos="851"/>
          <w:tab w:val="left" w:pos="9639"/>
        </w:tabs>
        <w:ind w:left="0" w:right="-1" w:firstLine="709"/>
        <w:rPr>
          <w:sz w:val="28"/>
          <w:szCs w:val="28"/>
        </w:rPr>
      </w:pPr>
      <w:r w:rsidRPr="00B77285">
        <w:rPr>
          <w:sz w:val="28"/>
          <w:szCs w:val="28"/>
        </w:rPr>
        <w:t>підвищення рівня культури педагогів у використанні мультимедійних засобів для самоосвіти та в організації навчально-пізнавальної діяльності дошкільників;</w:t>
      </w:r>
    </w:p>
    <w:p w:rsidR="00B77285" w:rsidRPr="00B77285" w:rsidRDefault="00B77285" w:rsidP="00B77285">
      <w:pPr>
        <w:pStyle w:val="aa"/>
        <w:numPr>
          <w:ilvl w:val="0"/>
          <w:numId w:val="9"/>
        </w:numPr>
        <w:tabs>
          <w:tab w:val="clear" w:pos="8640"/>
          <w:tab w:val="left" w:pos="851"/>
          <w:tab w:val="left" w:pos="9639"/>
        </w:tabs>
        <w:ind w:left="0" w:right="-1" w:firstLine="709"/>
        <w:rPr>
          <w:sz w:val="28"/>
          <w:szCs w:val="28"/>
        </w:rPr>
      </w:pPr>
      <w:r w:rsidRPr="00B77285">
        <w:rPr>
          <w:sz w:val="28"/>
          <w:szCs w:val="28"/>
        </w:rPr>
        <w:t>продовження роботи по створенню й підтримці сучасного освітнього простору,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w:t>
      </w:r>
    </w:p>
    <w:p w:rsidR="00B77285" w:rsidRPr="00B77285" w:rsidRDefault="00B77285" w:rsidP="00B77285">
      <w:pPr>
        <w:pStyle w:val="aa"/>
        <w:numPr>
          <w:ilvl w:val="0"/>
          <w:numId w:val="9"/>
        </w:numPr>
        <w:tabs>
          <w:tab w:val="clear" w:pos="8640"/>
          <w:tab w:val="left" w:pos="851"/>
          <w:tab w:val="left" w:pos="9639"/>
        </w:tabs>
        <w:ind w:left="0" w:right="-1" w:firstLine="709"/>
        <w:rPr>
          <w:sz w:val="28"/>
          <w:szCs w:val="28"/>
        </w:rPr>
      </w:pPr>
      <w:r w:rsidRPr="00B77285">
        <w:rPr>
          <w:sz w:val="28"/>
          <w:szCs w:val="28"/>
        </w:rPr>
        <w:t>продовження процесу формування особистості дитини, а також її правильного ставлення до трудової діяльності: суспільних мотивів трудової діяльності, поваги до праці дорослих, дбайливого ставлення до результатів праці інших;</w:t>
      </w:r>
    </w:p>
    <w:p w:rsidR="00B77285" w:rsidRPr="00B77285" w:rsidRDefault="00B77285" w:rsidP="00B77285">
      <w:pPr>
        <w:pStyle w:val="aa"/>
        <w:numPr>
          <w:ilvl w:val="0"/>
          <w:numId w:val="9"/>
        </w:numPr>
        <w:tabs>
          <w:tab w:val="clear" w:pos="8640"/>
          <w:tab w:val="left" w:pos="851"/>
          <w:tab w:val="left" w:pos="9639"/>
        </w:tabs>
        <w:ind w:left="0" w:right="-1" w:firstLine="709"/>
        <w:rPr>
          <w:sz w:val="28"/>
          <w:szCs w:val="28"/>
        </w:rPr>
      </w:pPr>
      <w:r w:rsidRPr="00B77285">
        <w:rPr>
          <w:sz w:val="28"/>
          <w:szCs w:val="28"/>
        </w:rPr>
        <w:t>забезпечення активного вивчення усіма працівниками закладів дошкільної освіти нових нормативно-законодавчих документів в галузі дошкільної освіти, здійснення  методичного супроводу реалізації законодавчих положень в освітній діяльності;</w:t>
      </w:r>
    </w:p>
    <w:p w:rsidR="00B77285" w:rsidRPr="00B77285" w:rsidRDefault="00B77285" w:rsidP="00B77285">
      <w:pPr>
        <w:pStyle w:val="aa"/>
        <w:numPr>
          <w:ilvl w:val="0"/>
          <w:numId w:val="9"/>
        </w:numPr>
        <w:tabs>
          <w:tab w:val="clear" w:pos="8640"/>
          <w:tab w:val="left" w:pos="567"/>
          <w:tab w:val="left" w:pos="851"/>
          <w:tab w:val="left" w:pos="9639"/>
        </w:tabs>
        <w:ind w:left="0" w:right="-1" w:firstLine="709"/>
        <w:rPr>
          <w:b/>
          <w:sz w:val="28"/>
          <w:szCs w:val="28"/>
          <w:shd w:val="clear" w:color="auto" w:fill="FFFFFF"/>
        </w:rPr>
      </w:pPr>
      <w:r w:rsidRPr="00B77285">
        <w:rPr>
          <w:sz w:val="28"/>
          <w:szCs w:val="28"/>
          <w:shd w:val="clear" w:color="auto" w:fill="FFFFFF"/>
        </w:rPr>
        <w:t xml:space="preserve">забезпечення права і комфортних умов на освіту дітей з особливими потребами; </w:t>
      </w:r>
    </w:p>
    <w:p w:rsidR="00B77285" w:rsidRPr="00B77285" w:rsidRDefault="00B77285" w:rsidP="00B77285">
      <w:pPr>
        <w:pStyle w:val="aa"/>
        <w:numPr>
          <w:ilvl w:val="0"/>
          <w:numId w:val="9"/>
        </w:numPr>
        <w:tabs>
          <w:tab w:val="clear" w:pos="8640"/>
          <w:tab w:val="left" w:pos="851"/>
          <w:tab w:val="left" w:pos="9639"/>
        </w:tabs>
        <w:ind w:left="0" w:right="-1" w:firstLine="709"/>
        <w:rPr>
          <w:b/>
          <w:sz w:val="28"/>
          <w:szCs w:val="28"/>
        </w:rPr>
      </w:pPr>
      <w:r w:rsidRPr="00B77285">
        <w:rPr>
          <w:sz w:val="28"/>
          <w:szCs w:val="28"/>
        </w:rPr>
        <w:t>розвиток і підтримка системи роботи з обдарованою і талановитою молоддю, різнобічний розвиток індивідуальності дитини, її задатків і здібностей;</w:t>
      </w:r>
    </w:p>
    <w:p w:rsidR="00B77285" w:rsidRPr="00B77285" w:rsidRDefault="00B77285" w:rsidP="00B77285">
      <w:pPr>
        <w:pStyle w:val="a8"/>
        <w:numPr>
          <w:ilvl w:val="0"/>
          <w:numId w:val="9"/>
        </w:numPr>
        <w:shd w:val="clear" w:color="auto" w:fill="FFFFFF"/>
        <w:tabs>
          <w:tab w:val="left" w:pos="851"/>
          <w:tab w:val="left" w:pos="1104"/>
          <w:tab w:val="left" w:pos="9639"/>
        </w:tabs>
        <w:ind w:left="0" w:right="-1" w:firstLine="709"/>
        <w:rPr>
          <w:rFonts w:eastAsia="Calibri"/>
          <w:szCs w:val="28"/>
          <w:lang w:eastAsia="en-US"/>
        </w:rPr>
      </w:pPr>
      <w:r w:rsidRPr="00B77285">
        <w:rPr>
          <w:rFonts w:eastAsia="Calibri"/>
          <w:szCs w:val="28"/>
          <w:lang w:eastAsia="en-US"/>
        </w:rPr>
        <w:t>приведення матеріально-технічної бази та навчального оснащення освітніх закладів до сучасних стандартів організації навчального середовища;</w:t>
      </w:r>
    </w:p>
    <w:p w:rsidR="00B77285" w:rsidRPr="00B77285" w:rsidRDefault="00B77285" w:rsidP="00B77285">
      <w:pPr>
        <w:pStyle w:val="a8"/>
        <w:numPr>
          <w:ilvl w:val="0"/>
          <w:numId w:val="9"/>
        </w:numPr>
        <w:shd w:val="clear" w:color="auto" w:fill="FFFFFF"/>
        <w:tabs>
          <w:tab w:val="left" w:pos="851"/>
          <w:tab w:val="left" w:pos="1104"/>
          <w:tab w:val="left" w:pos="9639"/>
        </w:tabs>
        <w:ind w:left="0" w:right="-1" w:firstLine="709"/>
        <w:rPr>
          <w:rFonts w:eastAsia="Calibri"/>
          <w:szCs w:val="28"/>
          <w:lang w:eastAsia="en-US"/>
        </w:rPr>
      </w:pPr>
      <w:r w:rsidRPr="00B77285">
        <w:rPr>
          <w:rFonts w:eastAsia="Calibri"/>
          <w:szCs w:val="28"/>
          <w:lang w:eastAsia="en-US"/>
        </w:rPr>
        <w:t>забезпечення використання інформаційно-комунікаційних технологій в навчально-виховному процесі та управлінні освітою.</w:t>
      </w:r>
    </w:p>
    <w:p w:rsidR="00B77285" w:rsidRPr="00B77285" w:rsidRDefault="00B77285" w:rsidP="00B77285">
      <w:pPr>
        <w:pStyle w:val="aa"/>
        <w:tabs>
          <w:tab w:val="clear" w:pos="8640"/>
          <w:tab w:val="left" w:pos="851"/>
          <w:tab w:val="left" w:pos="9639"/>
        </w:tabs>
        <w:ind w:right="-1" w:firstLine="709"/>
        <w:rPr>
          <w:b/>
          <w:sz w:val="28"/>
          <w:szCs w:val="28"/>
        </w:rPr>
      </w:pPr>
      <w:r w:rsidRPr="00B77285">
        <w:rPr>
          <w:sz w:val="28"/>
          <w:szCs w:val="28"/>
        </w:rPr>
        <w:t>Протягом 2022-2024 років кошти бюджету будуть спрямовані на виконання заходів із:</w:t>
      </w:r>
    </w:p>
    <w:p w:rsidR="00B77285" w:rsidRPr="00B77285" w:rsidRDefault="00B77285" w:rsidP="00B77285">
      <w:pPr>
        <w:pStyle w:val="aa"/>
        <w:numPr>
          <w:ilvl w:val="0"/>
          <w:numId w:val="7"/>
        </w:numPr>
        <w:tabs>
          <w:tab w:val="clear" w:pos="8640"/>
          <w:tab w:val="left" w:pos="0"/>
          <w:tab w:val="left" w:pos="851"/>
          <w:tab w:val="left" w:pos="9639"/>
        </w:tabs>
        <w:ind w:left="0" w:right="-1" w:firstLine="709"/>
        <w:rPr>
          <w:b/>
          <w:sz w:val="28"/>
          <w:szCs w:val="28"/>
        </w:rPr>
      </w:pPr>
      <w:r w:rsidRPr="00B77285">
        <w:rPr>
          <w:sz w:val="28"/>
          <w:szCs w:val="28"/>
        </w:rPr>
        <w:lastRenderedPageBreak/>
        <w:t>впровадження сучасних технологій дистанційного, змішаного навчання в умовах сучасного освітнього простору;</w:t>
      </w:r>
    </w:p>
    <w:p w:rsidR="00B77285" w:rsidRPr="00B77285" w:rsidRDefault="00B77285" w:rsidP="00B77285">
      <w:pPr>
        <w:pStyle w:val="aa"/>
        <w:numPr>
          <w:ilvl w:val="0"/>
          <w:numId w:val="7"/>
        </w:numPr>
        <w:tabs>
          <w:tab w:val="clear" w:pos="8640"/>
          <w:tab w:val="left" w:pos="0"/>
          <w:tab w:val="left" w:pos="851"/>
          <w:tab w:val="left" w:pos="9639"/>
        </w:tabs>
        <w:ind w:left="0" w:right="-1" w:firstLine="709"/>
        <w:rPr>
          <w:b/>
          <w:sz w:val="28"/>
          <w:szCs w:val="28"/>
        </w:rPr>
      </w:pPr>
      <w:r w:rsidRPr="00B77285">
        <w:rPr>
          <w:sz w:val="28"/>
          <w:szCs w:val="28"/>
        </w:rPr>
        <w:t>організація освітнього процесу в умовах карантину;</w:t>
      </w:r>
    </w:p>
    <w:p w:rsidR="00B77285" w:rsidRPr="00B77285" w:rsidRDefault="00B77285" w:rsidP="00B77285">
      <w:pPr>
        <w:pStyle w:val="aa"/>
        <w:numPr>
          <w:ilvl w:val="0"/>
          <w:numId w:val="7"/>
        </w:numPr>
        <w:tabs>
          <w:tab w:val="clear" w:pos="8640"/>
          <w:tab w:val="left" w:pos="851"/>
          <w:tab w:val="left" w:pos="9639"/>
        </w:tabs>
        <w:ind w:left="0" w:right="-1" w:firstLine="709"/>
        <w:rPr>
          <w:b/>
          <w:sz w:val="28"/>
          <w:szCs w:val="28"/>
        </w:rPr>
      </w:pPr>
      <w:r w:rsidRPr="00B77285">
        <w:rPr>
          <w:sz w:val="28"/>
          <w:szCs w:val="28"/>
        </w:rPr>
        <w:t>забезпечення безпечних умов для перебування дітей у навчальних закладах;поетапне встановлення систем відео спостереження, доочищення води, впровадження протипожежних та інших заходів;</w:t>
      </w:r>
    </w:p>
    <w:p w:rsidR="00B77285" w:rsidRPr="00B77285" w:rsidRDefault="00B77285" w:rsidP="00B77285">
      <w:pPr>
        <w:pStyle w:val="aa"/>
        <w:numPr>
          <w:ilvl w:val="0"/>
          <w:numId w:val="7"/>
        </w:numPr>
        <w:tabs>
          <w:tab w:val="clear" w:pos="8640"/>
          <w:tab w:val="left" w:pos="851"/>
          <w:tab w:val="left" w:pos="9639"/>
        </w:tabs>
        <w:ind w:left="0" w:right="-1" w:firstLine="709"/>
        <w:rPr>
          <w:b/>
          <w:sz w:val="28"/>
          <w:szCs w:val="28"/>
        </w:rPr>
      </w:pPr>
      <w:r w:rsidRPr="00B77285">
        <w:rPr>
          <w:sz w:val="28"/>
          <w:szCs w:val="28"/>
        </w:rPr>
        <w:t>створення умов для дітей з особливими потребами, шляхом ремонту санвузлів, придбання спеціальних меблів;</w:t>
      </w:r>
    </w:p>
    <w:p w:rsidR="00B77285" w:rsidRPr="00B77285" w:rsidRDefault="00B77285" w:rsidP="00B77285">
      <w:pPr>
        <w:pStyle w:val="aa"/>
        <w:numPr>
          <w:ilvl w:val="0"/>
          <w:numId w:val="7"/>
        </w:numPr>
        <w:tabs>
          <w:tab w:val="clear" w:pos="8640"/>
          <w:tab w:val="left" w:pos="851"/>
          <w:tab w:val="left" w:pos="9639"/>
        </w:tabs>
        <w:ind w:left="0" w:right="-1" w:firstLine="709"/>
        <w:rPr>
          <w:b/>
          <w:sz w:val="28"/>
          <w:szCs w:val="28"/>
        </w:rPr>
      </w:pPr>
      <w:r w:rsidRPr="00B77285">
        <w:rPr>
          <w:sz w:val="28"/>
          <w:szCs w:val="28"/>
        </w:rPr>
        <w:t>продовження робіт з оновлення шкільних меблів та забезпечення дидактичними матеріалами учнів початкових класів, в рамках реалізації реформи закладів загальної середньої освіти «Нова українська школа»;</w:t>
      </w:r>
    </w:p>
    <w:p w:rsidR="00B77285" w:rsidRPr="00B77285" w:rsidRDefault="00B77285" w:rsidP="00B77285">
      <w:pPr>
        <w:pStyle w:val="aa"/>
        <w:numPr>
          <w:ilvl w:val="0"/>
          <w:numId w:val="7"/>
        </w:numPr>
        <w:tabs>
          <w:tab w:val="clear" w:pos="8640"/>
          <w:tab w:val="left" w:pos="851"/>
          <w:tab w:val="left" w:pos="9639"/>
        </w:tabs>
        <w:ind w:left="0" w:right="-1" w:firstLine="709"/>
        <w:rPr>
          <w:b/>
          <w:sz w:val="28"/>
          <w:szCs w:val="28"/>
        </w:rPr>
      </w:pPr>
      <w:r w:rsidRPr="00B77285">
        <w:rPr>
          <w:sz w:val="28"/>
          <w:szCs w:val="28"/>
        </w:rPr>
        <w:t>оновлення технологічного та холодильного обладнання на харчоблоках закладів дошкільної та шкільної освіти;</w:t>
      </w:r>
    </w:p>
    <w:p w:rsidR="00B77285" w:rsidRPr="00B77285" w:rsidRDefault="00B77285" w:rsidP="00B77285">
      <w:pPr>
        <w:pStyle w:val="aa"/>
        <w:numPr>
          <w:ilvl w:val="0"/>
          <w:numId w:val="7"/>
        </w:numPr>
        <w:tabs>
          <w:tab w:val="clear" w:pos="8640"/>
          <w:tab w:val="left" w:pos="851"/>
          <w:tab w:val="left" w:pos="9639"/>
        </w:tabs>
        <w:ind w:left="0" w:right="-1" w:firstLine="709"/>
        <w:rPr>
          <w:b/>
          <w:sz w:val="28"/>
          <w:szCs w:val="28"/>
        </w:rPr>
      </w:pPr>
      <w:r w:rsidRPr="00B77285">
        <w:rPr>
          <w:sz w:val="28"/>
          <w:szCs w:val="28"/>
        </w:rPr>
        <w:t>придбання навчального обладнання для кабінетів математики, фізики, хімії, біології, іноземних мов;</w:t>
      </w:r>
    </w:p>
    <w:p w:rsidR="00B77285" w:rsidRPr="00B77285" w:rsidRDefault="00B77285" w:rsidP="00B77285">
      <w:pPr>
        <w:pStyle w:val="aa"/>
        <w:numPr>
          <w:ilvl w:val="0"/>
          <w:numId w:val="7"/>
        </w:numPr>
        <w:tabs>
          <w:tab w:val="clear" w:pos="8640"/>
          <w:tab w:val="left" w:pos="851"/>
          <w:tab w:val="left" w:pos="9639"/>
        </w:tabs>
        <w:ind w:left="0" w:right="-1" w:firstLine="709"/>
        <w:rPr>
          <w:b/>
          <w:sz w:val="28"/>
          <w:szCs w:val="28"/>
        </w:rPr>
      </w:pPr>
      <w:r w:rsidRPr="00B77285">
        <w:rPr>
          <w:sz w:val="28"/>
          <w:szCs w:val="28"/>
        </w:rPr>
        <w:t>стимулювання творчої молоді та педагогічних працівників.</w:t>
      </w:r>
    </w:p>
    <w:p w:rsidR="00B77285" w:rsidRPr="00B77285" w:rsidRDefault="00B77285" w:rsidP="00B77285">
      <w:pPr>
        <w:pStyle w:val="rvps122"/>
        <w:tabs>
          <w:tab w:val="left" w:pos="851"/>
          <w:tab w:val="left" w:pos="9639"/>
        </w:tabs>
        <w:spacing w:before="0" w:beforeAutospacing="0" w:after="0" w:afterAutospacing="0"/>
        <w:ind w:right="-1" w:firstLine="709"/>
        <w:jc w:val="both"/>
        <w:rPr>
          <w:sz w:val="28"/>
          <w:szCs w:val="28"/>
          <w:lang w:val="uk-UA"/>
        </w:rPr>
      </w:pPr>
      <w:r w:rsidRPr="00B77285">
        <w:rPr>
          <w:rStyle w:val="rvts33"/>
          <w:sz w:val="28"/>
          <w:szCs w:val="28"/>
          <w:lang w:val="uk-UA"/>
        </w:rPr>
        <w:t xml:space="preserve">Основними результатами, яких планується досягти, є: </w:t>
      </w:r>
    </w:p>
    <w:p w:rsidR="00B77285" w:rsidRPr="00B77285" w:rsidRDefault="00B77285" w:rsidP="00B77285">
      <w:pPr>
        <w:pStyle w:val="rvps122"/>
        <w:numPr>
          <w:ilvl w:val="0"/>
          <w:numId w:val="10"/>
        </w:numPr>
        <w:tabs>
          <w:tab w:val="left" w:pos="851"/>
          <w:tab w:val="left" w:pos="9639"/>
        </w:tabs>
        <w:spacing w:before="0" w:beforeAutospacing="0" w:after="0" w:afterAutospacing="0"/>
        <w:ind w:left="0" w:right="-1" w:firstLine="709"/>
        <w:jc w:val="both"/>
        <w:rPr>
          <w:rStyle w:val="rvts33"/>
          <w:sz w:val="28"/>
          <w:szCs w:val="28"/>
          <w:lang w:val="uk-UA"/>
        </w:rPr>
      </w:pPr>
      <w:r w:rsidRPr="00B77285">
        <w:rPr>
          <w:sz w:val="28"/>
          <w:szCs w:val="28"/>
          <w:shd w:val="clear" w:color="auto" w:fill="FFFFFF"/>
          <w:lang w:val="uk-UA"/>
        </w:rPr>
        <w:t>розширення можливості соціальної інтеграції різних категорій дітей з відхиленнями в розвитку, поведінці, обмеженими можливостями здоров’я та особливими освітніми потребами;</w:t>
      </w:r>
    </w:p>
    <w:p w:rsidR="00B77285" w:rsidRPr="00B77285" w:rsidRDefault="00B77285" w:rsidP="00B77285">
      <w:pPr>
        <w:pStyle w:val="rvps122"/>
        <w:numPr>
          <w:ilvl w:val="0"/>
          <w:numId w:val="10"/>
        </w:numPr>
        <w:tabs>
          <w:tab w:val="left" w:pos="851"/>
          <w:tab w:val="left" w:pos="9639"/>
        </w:tabs>
        <w:spacing w:before="0" w:beforeAutospacing="0" w:after="0" w:afterAutospacing="0"/>
        <w:ind w:left="0" w:right="-1" w:firstLine="709"/>
        <w:jc w:val="both"/>
        <w:rPr>
          <w:rStyle w:val="rvts33"/>
          <w:sz w:val="28"/>
          <w:szCs w:val="28"/>
          <w:lang w:val="uk-UA"/>
        </w:rPr>
      </w:pPr>
      <w:r w:rsidRPr="00B77285">
        <w:rPr>
          <w:rStyle w:val="rvts33"/>
          <w:sz w:val="28"/>
          <w:szCs w:val="28"/>
          <w:lang w:val="uk-UA"/>
        </w:rPr>
        <w:t>стовідсоткове охоплення дітей повною загальною середньою освітою;</w:t>
      </w:r>
    </w:p>
    <w:p w:rsidR="00B77285" w:rsidRPr="00B77285" w:rsidRDefault="00B77285" w:rsidP="00B77285">
      <w:pPr>
        <w:pStyle w:val="rvps122"/>
        <w:numPr>
          <w:ilvl w:val="0"/>
          <w:numId w:val="10"/>
        </w:numPr>
        <w:tabs>
          <w:tab w:val="left" w:pos="851"/>
          <w:tab w:val="left" w:pos="9639"/>
        </w:tabs>
        <w:spacing w:before="0" w:beforeAutospacing="0" w:after="0" w:afterAutospacing="0"/>
        <w:ind w:left="0" w:right="-1" w:firstLine="709"/>
        <w:jc w:val="both"/>
        <w:rPr>
          <w:rStyle w:val="rvts33"/>
          <w:sz w:val="28"/>
          <w:szCs w:val="28"/>
          <w:lang w:val="uk-UA"/>
        </w:rPr>
      </w:pPr>
      <w:r w:rsidRPr="00B77285">
        <w:rPr>
          <w:rStyle w:val="rvts33"/>
          <w:sz w:val="28"/>
          <w:szCs w:val="28"/>
          <w:lang w:val="uk-UA"/>
        </w:rPr>
        <w:t>підвищення рівня забезпечення дошкільних та загальноосвітніх навчальних закладів сучасним обладнанням;</w:t>
      </w:r>
    </w:p>
    <w:p w:rsidR="00B77285" w:rsidRPr="00B77285" w:rsidRDefault="00B77285" w:rsidP="00B77285">
      <w:pPr>
        <w:pStyle w:val="rvps122"/>
        <w:numPr>
          <w:ilvl w:val="0"/>
          <w:numId w:val="10"/>
        </w:numPr>
        <w:tabs>
          <w:tab w:val="left" w:pos="851"/>
          <w:tab w:val="left" w:pos="9639"/>
        </w:tabs>
        <w:spacing w:before="0" w:beforeAutospacing="0" w:after="0" w:afterAutospacing="0"/>
        <w:ind w:left="0" w:right="-1" w:firstLine="709"/>
        <w:jc w:val="both"/>
        <w:rPr>
          <w:rStyle w:val="rvts33"/>
          <w:sz w:val="28"/>
          <w:szCs w:val="28"/>
          <w:lang w:val="uk-UA"/>
        </w:rPr>
      </w:pPr>
      <w:r w:rsidRPr="00B77285">
        <w:rPr>
          <w:rStyle w:val="rvts33"/>
          <w:sz w:val="28"/>
          <w:szCs w:val="28"/>
          <w:lang w:val="uk-UA"/>
        </w:rPr>
        <w:t>створення безпечних умов перебування дітей в дошкільних та загальноосвітніх навчальних закладах;</w:t>
      </w:r>
    </w:p>
    <w:p w:rsidR="00B77285" w:rsidRPr="00B77285" w:rsidRDefault="00B77285" w:rsidP="00B77285">
      <w:pPr>
        <w:pStyle w:val="rvps122"/>
        <w:numPr>
          <w:ilvl w:val="0"/>
          <w:numId w:val="10"/>
        </w:numPr>
        <w:tabs>
          <w:tab w:val="left" w:pos="851"/>
          <w:tab w:val="left" w:pos="9639"/>
        </w:tabs>
        <w:spacing w:before="0" w:beforeAutospacing="0" w:after="0" w:afterAutospacing="0"/>
        <w:ind w:left="0" w:right="-1" w:firstLine="709"/>
        <w:jc w:val="both"/>
        <w:rPr>
          <w:rStyle w:val="rvts33"/>
          <w:sz w:val="28"/>
          <w:szCs w:val="28"/>
          <w:lang w:val="uk-UA"/>
        </w:rPr>
      </w:pPr>
      <w:r w:rsidRPr="00B77285">
        <w:rPr>
          <w:rStyle w:val="rvts33"/>
          <w:sz w:val="28"/>
          <w:szCs w:val="28"/>
          <w:lang w:val="uk-UA"/>
        </w:rPr>
        <w:t xml:space="preserve">поступова модернізація технологічного обладнання на харчоблоках. </w:t>
      </w:r>
    </w:p>
    <w:p w:rsidR="00B77285" w:rsidRPr="00B77285" w:rsidRDefault="00B77285" w:rsidP="00B77285">
      <w:pPr>
        <w:tabs>
          <w:tab w:val="num" w:pos="851"/>
          <w:tab w:val="num" w:pos="1287"/>
        </w:tabs>
        <w:ind w:firstLine="709"/>
        <w:jc w:val="both"/>
        <w:rPr>
          <w:sz w:val="28"/>
          <w:szCs w:val="28"/>
          <w:lang w:val="uk-UA"/>
        </w:rPr>
      </w:pPr>
      <w:r w:rsidRPr="00B77285">
        <w:rPr>
          <w:b/>
          <w:sz w:val="28"/>
          <w:szCs w:val="28"/>
          <w:lang w:val="uk-UA"/>
        </w:rPr>
        <w:t>У галузі охорони здоров’я</w:t>
      </w:r>
      <w:r w:rsidRPr="00B77285">
        <w:rPr>
          <w:sz w:val="28"/>
          <w:szCs w:val="28"/>
          <w:lang w:val="uk-UA"/>
        </w:rPr>
        <w:t xml:space="preserve"> у прогнозному періоді передбачається продовження реалізації програми державних гарантій медичного обслуговування населення та втілення її заходів у повсякденну практичну діяльність закладів первинної та вторинної допомоги. </w:t>
      </w:r>
    </w:p>
    <w:p w:rsidR="00B77285" w:rsidRPr="00B77285" w:rsidRDefault="00B77285" w:rsidP="00B77285">
      <w:pPr>
        <w:tabs>
          <w:tab w:val="num" w:pos="851"/>
          <w:tab w:val="num" w:pos="1287"/>
        </w:tabs>
        <w:ind w:firstLine="709"/>
        <w:jc w:val="both"/>
        <w:rPr>
          <w:sz w:val="28"/>
          <w:szCs w:val="28"/>
          <w:lang w:val="uk-UA"/>
        </w:rPr>
      </w:pPr>
      <w:r w:rsidRPr="00B77285">
        <w:rPr>
          <w:sz w:val="28"/>
          <w:szCs w:val="28"/>
          <w:lang w:val="uk-UA"/>
        </w:rPr>
        <w:t>Пріоритетними напрямами фінансового забезпечення цієї галузі з</w:t>
      </w:r>
      <w:r>
        <w:rPr>
          <w:sz w:val="28"/>
          <w:szCs w:val="28"/>
          <w:lang w:val="uk-UA"/>
        </w:rPr>
        <w:t xml:space="preserve"> </w:t>
      </w:r>
      <w:r w:rsidRPr="00B77285">
        <w:rPr>
          <w:sz w:val="28"/>
          <w:szCs w:val="28"/>
          <w:lang w:val="uk-UA"/>
        </w:rPr>
        <w:t>бюджету Великосеверинівської територіальної громади визначено створення умов для стабільного функціонування комунальних некомерційних підприємств охорони здоров’я, зміцнення їх матеріально-технічної бази, впровадження медичних технологій та</w:t>
      </w:r>
      <w:r>
        <w:rPr>
          <w:sz w:val="28"/>
          <w:szCs w:val="28"/>
          <w:lang w:val="uk-UA"/>
        </w:rPr>
        <w:t xml:space="preserve"> </w:t>
      </w:r>
      <w:r w:rsidRPr="00B77285">
        <w:rPr>
          <w:sz w:val="28"/>
          <w:szCs w:val="28"/>
          <w:lang w:val="uk-UA"/>
        </w:rPr>
        <w:t>підвищення якості надання медичної допомоги.</w:t>
      </w:r>
    </w:p>
    <w:p w:rsidR="00B77285" w:rsidRPr="00B77285" w:rsidRDefault="00B77285" w:rsidP="00B77285">
      <w:pPr>
        <w:ind w:firstLine="709"/>
        <w:contextualSpacing/>
        <w:jc w:val="both"/>
        <w:rPr>
          <w:rStyle w:val="s1"/>
          <w:bCs/>
          <w:color w:val="000000"/>
          <w:sz w:val="28"/>
          <w:szCs w:val="28"/>
          <w:lang w:val="uk-UA"/>
        </w:rPr>
      </w:pPr>
      <w:r w:rsidRPr="00B77285">
        <w:rPr>
          <w:rStyle w:val="s1"/>
          <w:bCs/>
          <w:color w:val="000000"/>
          <w:sz w:val="28"/>
          <w:szCs w:val="28"/>
          <w:lang w:val="uk-UA"/>
        </w:rPr>
        <w:t>Пріоритетними напрямками розвитку галузі є:</w:t>
      </w:r>
    </w:p>
    <w:p w:rsidR="00B77285" w:rsidRPr="00B77285" w:rsidRDefault="00B77285" w:rsidP="00B77285">
      <w:pPr>
        <w:pStyle w:val="a8"/>
        <w:numPr>
          <w:ilvl w:val="0"/>
          <w:numId w:val="7"/>
        </w:numPr>
        <w:tabs>
          <w:tab w:val="left" w:pos="851"/>
        </w:tabs>
        <w:ind w:left="0" w:firstLine="709"/>
        <w:rPr>
          <w:rStyle w:val="s1"/>
          <w:bCs/>
          <w:color w:val="000000"/>
          <w:szCs w:val="28"/>
        </w:rPr>
      </w:pPr>
      <w:r w:rsidRPr="00B77285">
        <w:rPr>
          <w:rStyle w:val="s1"/>
          <w:bCs/>
          <w:color w:val="000000"/>
          <w:szCs w:val="28"/>
        </w:rPr>
        <w:t>створення умов для стабільного функціонування комунальних некомерційних підприємств охорони здоров’я;</w:t>
      </w:r>
    </w:p>
    <w:p w:rsidR="00B77285" w:rsidRPr="00B77285" w:rsidRDefault="00B77285" w:rsidP="00B77285">
      <w:pPr>
        <w:pStyle w:val="a8"/>
        <w:numPr>
          <w:ilvl w:val="0"/>
          <w:numId w:val="7"/>
        </w:numPr>
        <w:tabs>
          <w:tab w:val="left" w:pos="284"/>
          <w:tab w:val="left" w:pos="851"/>
        </w:tabs>
        <w:ind w:left="0" w:firstLine="709"/>
        <w:rPr>
          <w:rStyle w:val="s1"/>
          <w:bCs/>
          <w:color w:val="000000"/>
          <w:szCs w:val="28"/>
        </w:rPr>
      </w:pPr>
      <w:r w:rsidRPr="00B77285">
        <w:rPr>
          <w:rStyle w:val="s1"/>
          <w:bCs/>
          <w:color w:val="000000"/>
          <w:szCs w:val="28"/>
        </w:rPr>
        <w:t xml:space="preserve"> продовження розбудови системи громадського здоров’я та епідемічної безпеки населення;</w:t>
      </w:r>
    </w:p>
    <w:p w:rsidR="00B77285" w:rsidRPr="00B77285" w:rsidRDefault="00B77285" w:rsidP="00B77285">
      <w:pPr>
        <w:pStyle w:val="aa"/>
        <w:tabs>
          <w:tab w:val="clear" w:pos="8640"/>
          <w:tab w:val="left" w:pos="9639"/>
        </w:tabs>
        <w:ind w:right="-1" w:firstLine="709"/>
        <w:rPr>
          <w:rStyle w:val="s1"/>
          <w:b/>
          <w:sz w:val="28"/>
          <w:szCs w:val="28"/>
        </w:rPr>
      </w:pPr>
      <w:r w:rsidRPr="00B77285">
        <w:rPr>
          <w:sz w:val="28"/>
          <w:szCs w:val="28"/>
        </w:rPr>
        <w:t>Протягом 2022-2024 років кошти бюджету будуть спрямовані на виконання заходів із:</w:t>
      </w:r>
    </w:p>
    <w:p w:rsidR="00B77285" w:rsidRPr="00B77285" w:rsidRDefault="00B77285" w:rsidP="00B77285">
      <w:pPr>
        <w:pStyle w:val="a8"/>
        <w:numPr>
          <w:ilvl w:val="0"/>
          <w:numId w:val="8"/>
        </w:numPr>
        <w:tabs>
          <w:tab w:val="left" w:pos="851"/>
        </w:tabs>
        <w:ind w:left="0" w:firstLine="709"/>
        <w:rPr>
          <w:rStyle w:val="s1"/>
          <w:bCs/>
          <w:color w:val="000000"/>
          <w:szCs w:val="28"/>
        </w:rPr>
      </w:pPr>
      <w:r w:rsidRPr="00B77285">
        <w:rPr>
          <w:rStyle w:val="s1"/>
          <w:bCs/>
          <w:color w:val="000000"/>
          <w:szCs w:val="28"/>
        </w:rPr>
        <w:t>забезпечення оплати комунальних послуг та енергоносіїв;</w:t>
      </w:r>
    </w:p>
    <w:p w:rsidR="00B77285" w:rsidRPr="00B77285" w:rsidRDefault="00B77285" w:rsidP="00B77285">
      <w:pPr>
        <w:pStyle w:val="a8"/>
        <w:numPr>
          <w:ilvl w:val="0"/>
          <w:numId w:val="8"/>
        </w:numPr>
        <w:tabs>
          <w:tab w:val="left" w:pos="851"/>
        </w:tabs>
        <w:ind w:left="0" w:firstLine="709"/>
        <w:rPr>
          <w:rStyle w:val="s1"/>
          <w:bCs/>
          <w:color w:val="000000"/>
          <w:szCs w:val="28"/>
        </w:rPr>
      </w:pPr>
      <w:r w:rsidRPr="00B77285">
        <w:rPr>
          <w:rStyle w:val="s1"/>
          <w:bCs/>
          <w:color w:val="000000"/>
          <w:szCs w:val="28"/>
        </w:rPr>
        <w:t xml:space="preserve">покращення матеріально-технічної бази </w:t>
      </w:r>
      <w:r w:rsidRPr="00B77285">
        <w:rPr>
          <w:szCs w:val="28"/>
        </w:rPr>
        <w:t>закладів охорони здоров’я</w:t>
      </w:r>
      <w:r w:rsidRPr="00B77285">
        <w:rPr>
          <w:rStyle w:val="s1"/>
          <w:bCs/>
          <w:color w:val="000000"/>
          <w:szCs w:val="28"/>
        </w:rPr>
        <w:t>;</w:t>
      </w:r>
    </w:p>
    <w:p w:rsidR="00B77285" w:rsidRPr="00B77285" w:rsidRDefault="00B77285" w:rsidP="00B77285">
      <w:pPr>
        <w:pStyle w:val="a8"/>
        <w:numPr>
          <w:ilvl w:val="0"/>
          <w:numId w:val="8"/>
        </w:numPr>
        <w:tabs>
          <w:tab w:val="left" w:pos="851"/>
        </w:tabs>
        <w:ind w:left="0" w:firstLine="709"/>
        <w:rPr>
          <w:rStyle w:val="s1"/>
          <w:bCs/>
          <w:color w:val="000000"/>
          <w:szCs w:val="28"/>
        </w:rPr>
      </w:pPr>
      <w:r w:rsidRPr="00B77285">
        <w:rPr>
          <w:rStyle w:val="s1"/>
          <w:bCs/>
          <w:color w:val="000000"/>
          <w:szCs w:val="28"/>
        </w:rPr>
        <w:lastRenderedPageBreak/>
        <w:t>фінансування медичних послуг, які не забезпечуються державою (</w:t>
      </w:r>
      <w:r w:rsidRPr="00B77285">
        <w:rPr>
          <w:szCs w:val="28"/>
        </w:rPr>
        <w:t xml:space="preserve">забезпечення безоплатним та пільговим відпуском лікарських засобів за рецептами </w:t>
      </w:r>
      <w:r w:rsidRPr="00B77285">
        <w:rPr>
          <w:rStyle w:val="s1"/>
          <w:bCs/>
          <w:color w:val="000000"/>
          <w:szCs w:val="28"/>
        </w:rPr>
        <w:t>лікарів відповідно до постанови Кабінету Міністрів України № 1303 «</w:t>
      </w:r>
      <w:r w:rsidRPr="00B77285">
        <w:rPr>
          <w:rStyle w:val="s1"/>
          <w:color w:val="000000"/>
          <w:szCs w:val="28"/>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rsidR="00B77285" w:rsidRPr="00B77285" w:rsidRDefault="00B77285" w:rsidP="00B77285">
      <w:pPr>
        <w:pStyle w:val="a8"/>
        <w:numPr>
          <w:ilvl w:val="0"/>
          <w:numId w:val="8"/>
        </w:numPr>
        <w:tabs>
          <w:tab w:val="left" w:pos="851"/>
        </w:tabs>
        <w:ind w:left="0" w:firstLine="709"/>
        <w:rPr>
          <w:rStyle w:val="s1"/>
          <w:bCs/>
          <w:color w:val="000000"/>
          <w:szCs w:val="28"/>
        </w:rPr>
      </w:pPr>
      <w:r w:rsidRPr="00B77285">
        <w:rPr>
          <w:rStyle w:val="s1"/>
          <w:bCs/>
          <w:color w:val="000000"/>
          <w:szCs w:val="28"/>
        </w:rPr>
        <w:t xml:space="preserve">сприянні у наданні медичної допомоги населенню в умовах розповсюдження гострої респіраторної хвороби COVID-19, спричиненої </w:t>
      </w:r>
      <w:proofErr w:type="spellStart"/>
      <w:r w:rsidRPr="00B77285">
        <w:rPr>
          <w:rStyle w:val="s1"/>
          <w:bCs/>
          <w:color w:val="000000"/>
          <w:szCs w:val="28"/>
        </w:rPr>
        <w:t>коронавірусом</w:t>
      </w:r>
      <w:proofErr w:type="spellEnd"/>
      <w:r w:rsidRPr="00B77285">
        <w:rPr>
          <w:rStyle w:val="s1"/>
          <w:bCs/>
          <w:color w:val="000000"/>
          <w:szCs w:val="28"/>
        </w:rPr>
        <w:t xml:space="preserve"> SARS-CoV-2.</w:t>
      </w:r>
    </w:p>
    <w:p w:rsidR="00B77285" w:rsidRPr="00B77285" w:rsidRDefault="00B77285" w:rsidP="00B77285">
      <w:pPr>
        <w:ind w:firstLine="709"/>
        <w:jc w:val="both"/>
        <w:rPr>
          <w:sz w:val="28"/>
          <w:szCs w:val="28"/>
          <w:lang w:val="uk-UA" w:eastAsia="uk-UA"/>
        </w:rPr>
      </w:pPr>
      <w:r w:rsidRPr="00B77285">
        <w:rPr>
          <w:sz w:val="28"/>
          <w:szCs w:val="28"/>
          <w:lang w:val="uk-UA" w:eastAsia="uk-UA"/>
        </w:rPr>
        <w:t xml:space="preserve">Основні результати, яких планується досягти: </w:t>
      </w:r>
    </w:p>
    <w:p w:rsidR="00B77285" w:rsidRPr="00B77285" w:rsidRDefault="00B77285" w:rsidP="00B77285">
      <w:pPr>
        <w:pStyle w:val="a8"/>
        <w:numPr>
          <w:ilvl w:val="0"/>
          <w:numId w:val="8"/>
        </w:numPr>
        <w:tabs>
          <w:tab w:val="left" w:pos="851"/>
        </w:tabs>
        <w:ind w:left="0" w:firstLine="709"/>
        <w:rPr>
          <w:szCs w:val="28"/>
        </w:rPr>
      </w:pPr>
      <w:r w:rsidRPr="00B77285">
        <w:rPr>
          <w:szCs w:val="28"/>
        </w:rPr>
        <w:t>підвищення рівня медичного обслуговування населення;</w:t>
      </w:r>
    </w:p>
    <w:p w:rsidR="00B77285" w:rsidRPr="00B77285" w:rsidRDefault="00B77285" w:rsidP="00B77285">
      <w:pPr>
        <w:pStyle w:val="a8"/>
        <w:numPr>
          <w:ilvl w:val="0"/>
          <w:numId w:val="8"/>
        </w:numPr>
        <w:tabs>
          <w:tab w:val="left" w:pos="851"/>
        </w:tabs>
        <w:ind w:left="0" w:firstLine="709"/>
        <w:rPr>
          <w:szCs w:val="28"/>
        </w:rPr>
      </w:pPr>
      <w:r w:rsidRPr="00B77285">
        <w:rPr>
          <w:szCs w:val="28"/>
        </w:rPr>
        <w:t>запровадження нових підходів до організації роботи закладів охорони здоров’я та їх фінансового забезпечення;</w:t>
      </w:r>
    </w:p>
    <w:p w:rsidR="00B77285" w:rsidRPr="00B77285" w:rsidRDefault="00B77285" w:rsidP="00B77285">
      <w:pPr>
        <w:pStyle w:val="a8"/>
        <w:numPr>
          <w:ilvl w:val="0"/>
          <w:numId w:val="8"/>
        </w:numPr>
        <w:tabs>
          <w:tab w:val="left" w:pos="851"/>
        </w:tabs>
        <w:ind w:left="0" w:firstLine="709"/>
        <w:rPr>
          <w:szCs w:val="28"/>
        </w:rPr>
      </w:pPr>
      <w:r w:rsidRPr="00B77285">
        <w:rPr>
          <w:szCs w:val="28"/>
        </w:rPr>
        <w:t>подальший розвиток системи медичного обслуговування населення;</w:t>
      </w:r>
    </w:p>
    <w:p w:rsidR="00B77285" w:rsidRPr="00B77285" w:rsidRDefault="00B77285" w:rsidP="00B77285">
      <w:pPr>
        <w:pStyle w:val="a8"/>
        <w:numPr>
          <w:ilvl w:val="0"/>
          <w:numId w:val="8"/>
        </w:numPr>
        <w:tabs>
          <w:tab w:val="left" w:pos="851"/>
        </w:tabs>
        <w:ind w:left="0" w:firstLine="709"/>
        <w:rPr>
          <w:szCs w:val="28"/>
        </w:rPr>
      </w:pPr>
      <w:r w:rsidRPr="00B77285">
        <w:rPr>
          <w:szCs w:val="28"/>
        </w:rPr>
        <w:t>зниження рівнів загальної захворюваності населення.</w:t>
      </w:r>
    </w:p>
    <w:p w:rsidR="00B77285" w:rsidRPr="00B77285" w:rsidRDefault="00B77285" w:rsidP="00B77285">
      <w:pPr>
        <w:pStyle w:val="a8"/>
        <w:tabs>
          <w:tab w:val="left" w:pos="851"/>
        </w:tabs>
        <w:ind w:left="0" w:firstLine="709"/>
        <w:rPr>
          <w:szCs w:val="28"/>
        </w:rPr>
      </w:pPr>
      <w:r w:rsidRPr="00B77285">
        <w:rPr>
          <w:b/>
          <w:szCs w:val="28"/>
        </w:rPr>
        <w:t>У галузі соціального захисту та соціального забезпечення</w:t>
      </w:r>
      <w:r w:rsidRPr="00B77285">
        <w:rPr>
          <w:szCs w:val="28"/>
        </w:rPr>
        <w:t xml:space="preserve"> основними пріоритетними напрямками підвищення якості та рівня життя мешканців громади є:</w:t>
      </w:r>
    </w:p>
    <w:p w:rsidR="00B77285" w:rsidRPr="00B77285" w:rsidRDefault="00B77285" w:rsidP="00B77285">
      <w:pPr>
        <w:pStyle w:val="a8"/>
        <w:numPr>
          <w:ilvl w:val="0"/>
          <w:numId w:val="8"/>
        </w:numPr>
        <w:tabs>
          <w:tab w:val="left" w:pos="851"/>
        </w:tabs>
        <w:ind w:left="0" w:firstLine="709"/>
        <w:rPr>
          <w:szCs w:val="28"/>
        </w:rPr>
      </w:pPr>
      <w:r w:rsidRPr="00B77285">
        <w:rPr>
          <w:szCs w:val="28"/>
        </w:rPr>
        <w:t>забезпечення максимальної адресності та наближеності надання відповідної соціальної підтримки тим, хто її потребує;</w:t>
      </w:r>
    </w:p>
    <w:p w:rsidR="00B77285" w:rsidRPr="00B77285" w:rsidRDefault="00B77285" w:rsidP="00B77285">
      <w:pPr>
        <w:pStyle w:val="a8"/>
        <w:numPr>
          <w:ilvl w:val="0"/>
          <w:numId w:val="8"/>
        </w:numPr>
        <w:tabs>
          <w:tab w:val="left" w:pos="851"/>
        </w:tabs>
        <w:ind w:left="0" w:firstLine="709"/>
        <w:rPr>
          <w:szCs w:val="28"/>
        </w:rPr>
      </w:pPr>
      <w:r w:rsidRPr="00B77285">
        <w:rPr>
          <w:szCs w:val="28"/>
        </w:rPr>
        <w:t>забезпечення надання комплексної соціальної підтримки учасникам АТО/ООС, членам їх сімей та членам сімей загиблих (померлих), які брали участь в АТО/ООС;</w:t>
      </w:r>
    </w:p>
    <w:p w:rsidR="00B77285" w:rsidRPr="00B77285" w:rsidRDefault="00B77285" w:rsidP="00B77285">
      <w:pPr>
        <w:pStyle w:val="a8"/>
        <w:numPr>
          <w:ilvl w:val="0"/>
          <w:numId w:val="8"/>
        </w:numPr>
        <w:tabs>
          <w:tab w:val="left" w:pos="851"/>
        </w:tabs>
        <w:ind w:left="0" w:firstLine="709"/>
        <w:rPr>
          <w:szCs w:val="28"/>
        </w:rPr>
      </w:pPr>
      <w:r w:rsidRPr="00B77285">
        <w:rPr>
          <w:szCs w:val="28"/>
        </w:rPr>
        <w:t>забезпечення захисту прав дитини;</w:t>
      </w:r>
    </w:p>
    <w:p w:rsidR="00B77285" w:rsidRPr="00B77285" w:rsidRDefault="00B77285" w:rsidP="00B77285">
      <w:pPr>
        <w:pStyle w:val="a8"/>
        <w:numPr>
          <w:ilvl w:val="0"/>
          <w:numId w:val="8"/>
        </w:numPr>
        <w:tabs>
          <w:tab w:val="left" w:pos="851"/>
        </w:tabs>
        <w:ind w:left="0" w:firstLine="709"/>
        <w:rPr>
          <w:szCs w:val="28"/>
        </w:rPr>
      </w:pPr>
      <w:r w:rsidRPr="00B77285">
        <w:rPr>
          <w:szCs w:val="28"/>
        </w:rPr>
        <w:t>розширення спектру надання соціальних послуг.</w:t>
      </w:r>
    </w:p>
    <w:p w:rsidR="00B77285" w:rsidRPr="00B77285" w:rsidRDefault="00B77285" w:rsidP="00B77285">
      <w:pPr>
        <w:pStyle w:val="a8"/>
        <w:tabs>
          <w:tab w:val="left" w:pos="851"/>
        </w:tabs>
        <w:ind w:left="0" w:firstLine="709"/>
        <w:rPr>
          <w:szCs w:val="28"/>
        </w:rPr>
      </w:pPr>
      <w:r w:rsidRPr="00B77285">
        <w:rPr>
          <w:szCs w:val="28"/>
        </w:rPr>
        <w:t>Дієвим механізмом підтримки малозабезпечених верств населення є здійснення таких основних заходів:</w:t>
      </w:r>
    </w:p>
    <w:p w:rsidR="00B77285" w:rsidRPr="00B77285" w:rsidRDefault="00B77285" w:rsidP="00B77285">
      <w:pPr>
        <w:pStyle w:val="a8"/>
        <w:numPr>
          <w:ilvl w:val="0"/>
          <w:numId w:val="8"/>
        </w:numPr>
        <w:tabs>
          <w:tab w:val="left" w:pos="851"/>
        </w:tabs>
        <w:ind w:left="0" w:firstLine="709"/>
        <w:rPr>
          <w:szCs w:val="28"/>
        </w:rPr>
      </w:pPr>
      <w:r w:rsidRPr="00B77285">
        <w:rPr>
          <w:szCs w:val="28"/>
        </w:rPr>
        <w:t>посилення соціального захисту учасників АТО/ООС, членів їх сімей, а також членів сімей загиблих (померлих) учасників АТО/ООС.</w:t>
      </w:r>
    </w:p>
    <w:p w:rsidR="00B77285" w:rsidRPr="00B77285" w:rsidRDefault="00B77285" w:rsidP="00B77285">
      <w:pPr>
        <w:pStyle w:val="a8"/>
        <w:numPr>
          <w:ilvl w:val="0"/>
          <w:numId w:val="8"/>
        </w:numPr>
        <w:tabs>
          <w:tab w:val="left" w:pos="851"/>
        </w:tabs>
        <w:ind w:left="0" w:firstLine="709"/>
        <w:rPr>
          <w:szCs w:val="28"/>
        </w:rPr>
      </w:pPr>
      <w:r w:rsidRPr="00B77285">
        <w:rPr>
          <w:szCs w:val="28"/>
        </w:rPr>
        <w:t>надання різних видів матеріальної допомоги малозабезпеченим верствам населення;</w:t>
      </w:r>
    </w:p>
    <w:p w:rsidR="00B77285" w:rsidRPr="00B77285" w:rsidRDefault="00B77285" w:rsidP="00B77285">
      <w:pPr>
        <w:pStyle w:val="a8"/>
        <w:numPr>
          <w:ilvl w:val="0"/>
          <w:numId w:val="8"/>
        </w:numPr>
        <w:tabs>
          <w:tab w:val="left" w:pos="851"/>
        </w:tabs>
        <w:ind w:left="0" w:firstLine="709"/>
        <w:rPr>
          <w:szCs w:val="28"/>
        </w:rPr>
      </w:pPr>
      <w:r w:rsidRPr="00B77285">
        <w:rPr>
          <w:szCs w:val="28"/>
        </w:rPr>
        <w:t>реабілітація дітей з інвалідністю, які потребують супроводу;</w:t>
      </w:r>
    </w:p>
    <w:p w:rsidR="00B77285" w:rsidRPr="00B77285" w:rsidRDefault="00B77285" w:rsidP="00B77285">
      <w:pPr>
        <w:pStyle w:val="a8"/>
        <w:numPr>
          <w:ilvl w:val="0"/>
          <w:numId w:val="8"/>
        </w:numPr>
        <w:tabs>
          <w:tab w:val="left" w:pos="851"/>
        </w:tabs>
        <w:ind w:left="0" w:firstLine="709"/>
        <w:rPr>
          <w:szCs w:val="28"/>
        </w:rPr>
      </w:pPr>
      <w:r w:rsidRPr="00B77285">
        <w:rPr>
          <w:szCs w:val="28"/>
        </w:rPr>
        <w:t>відпочинок дітей, які потребують особливої соціальної уваги та підтримки;</w:t>
      </w:r>
    </w:p>
    <w:p w:rsidR="00B77285" w:rsidRPr="00B77285" w:rsidRDefault="00B77285" w:rsidP="00B77285">
      <w:pPr>
        <w:pStyle w:val="a8"/>
        <w:numPr>
          <w:ilvl w:val="0"/>
          <w:numId w:val="8"/>
        </w:numPr>
        <w:tabs>
          <w:tab w:val="left" w:pos="851"/>
        </w:tabs>
        <w:ind w:left="0" w:firstLine="709"/>
        <w:rPr>
          <w:szCs w:val="28"/>
        </w:rPr>
      </w:pPr>
      <w:r w:rsidRPr="00B77285">
        <w:rPr>
          <w:szCs w:val="28"/>
        </w:rPr>
        <w:t>забезпечення осіб з інвалідністю, осіб похилого віку технічними та іншими засобами реабілітації;</w:t>
      </w:r>
    </w:p>
    <w:p w:rsidR="00B77285" w:rsidRPr="00B77285" w:rsidRDefault="00B77285" w:rsidP="00B77285">
      <w:pPr>
        <w:pStyle w:val="a8"/>
        <w:numPr>
          <w:ilvl w:val="0"/>
          <w:numId w:val="8"/>
        </w:numPr>
        <w:tabs>
          <w:tab w:val="left" w:pos="851"/>
        </w:tabs>
        <w:ind w:left="0" w:firstLine="709"/>
        <w:rPr>
          <w:szCs w:val="28"/>
        </w:rPr>
      </w:pPr>
      <w:r w:rsidRPr="00B77285">
        <w:rPr>
          <w:szCs w:val="28"/>
        </w:rPr>
        <w:t>забезпечення грошової компенсації за безоплатний проїзд окремих категорій громадян.</w:t>
      </w:r>
    </w:p>
    <w:p w:rsidR="00B77285" w:rsidRPr="00B77285" w:rsidRDefault="00B77285" w:rsidP="00B77285">
      <w:pPr>
        <w:tabs>
          <w:tab w:val="left" w:pos="709"/>
          <w:tab w:val="left" w:pos="851"/>
        </w:tabs>
        <w:ind w:firstLine="709"/>
        <w:jc w:val="both"/>
        <w:rPr>
          <w:sz w:val="28"/>
          <w:szCs w:val="28"/>
          <w:lang w:val="uk-UA"/>
        </w:rPr>
      </w:pPr>
      <w:r w:rsidRPr="00B77285">
        <w:rPr>
          <w:sz w:val="28"/>
          <w:szCs w:val="28"/>
          <w:lang w:val="uk-UA" w:eastAsia="uk-UA"/>
        </w:rPr>
        <w:t>Основними результатами, яких планується досягти, є:</w:t>
      </w:r>
      <w:r w:rsidRPr="00B77285">
        <w:rPr>
          <w:sz w:val="28"/>
          <w:szCs w:val="28"/>
          <w:lang w:val="uk-UA"/>
        </w:rPr>
        <w:t xml:space="preserve"> підвищення якості надання соціальних послуг особам, що опинилися у складних життєвих обставинах, підвищення матеріального стану незахищених верств населення.  </w:t>
      </w:r>
    </w:p>
    <w:p w:rsidR="00B77285" w:rsidRPr="00B77285" w:rsidRDefault="00B77285" w:rsidP="00B77285">
      <w:pPr>
        <w:pStyle w:val="a4"/>
        <w:tabs>
          <w:tab w:val="left" w:pos="851"/>
        </w:tabs>
        <w:spacing w:before="0" w:beforeAutospacing="0" w:after="0" w:afterAutospacing="0"/>
        <w:ind w:firstLine="709"/>
        <w:jc w:val="both"/>
        <w:rPr>
          <w:sz w:val="28"/>
          <w:szCs w:val="28"/>
        </w:rPr>
      </w:pPr>
      <w:r w:rsidRPr="00B77285">
        <w:rPr>
          <w:b/>
          <w:sz w:val="28"/>
          <w:szCs w:val="28"/>
        </w:rPr>
        <w:t>У галузі культури</w:t>
      </w:r>
      <w:r w:rsidRPr="00B77285">
        <w:rPr>
          <w:sz w:val="28"/>
          <w:szCs w:val="28"/>
        </w:rPr>
        <w:t xml:space="preserve"> пріоритетними напрямами розвитку є:</w:t>
      </w:r>
    </w:p>
    <w:p w:rsidR="00B77285" w:rsidRPr="00B77285" w:rsidRDefault="00B77285" w:rsidP="00B77285">
      <w:pPr>
        <w:pStyle w:val="docdata"/>
        <w:numPr>
          <w:ilvl w:val="0"/>
          <w:numId w:val="11"/>
        </w:numPr>
        <w:tabs>
          <w:tab w:val="left" w:pos="851"/>
          <w:tab w:val="left" w:pos="6841"/>
        </w:tabs>
        <w:spacing w:before="0" w:beforeAutospacing="0" w:after="0" w:afterAutospacing="0"/>
        <w:ind w:left="0" w:firstLine="709"/>
        <w:jc w:val="both"/>
        <w:rPr>
          <w:sz w:val="28"/>
          <w:szCs w:val="28"/>
          <w:lang w:val="uk-UA"/>
        </w:rPr>
      </w:pPr>
      <w:r w:rsidRPr="00B77285">
        <w:rPr>
          <w:sz w:val="28"/>
          <w:szCs w:val="28"/>
          <w:lang w:val="uk-UA"/>
        </w:rPr>
        <w:t xml:space="preserve">забезпечення доступності для громадян документів та інформації, створення умов для задоволення духовних потреб мешканців громади, </w:t>
      </w:r>
      <w:r w:rsidRPr="00B77285">
        <w:rPr>
          <w:sz w:val="28"/>
          <w:szCs w:val="28"/>
          <w:lang w:val="uk-UA"/>
        </w:rPr>
        <w:lastRenderedPageBreak/>
        <w:t>сприяння професійному та освітньому розвитку громадян, комплектування та зберігання бібліотечних фондів, їх облік, контроль за виконанням;</w:t>
      </w:r>
    </w:p>
    <w:p w:rsidR="00B77285" w:rsidRPr="00B77285" w:rsidRDefault="00B77285" w:rsidP="00B77285">
      <w:pPr>
        <w:pStyle w:val="docdata"/>
        <w:numPr>
          <w:ilvl w:val="0"/>
          <w:numId w:val="11"/>
        </w:numPr>
        <w:tabs>
          <w:tab w:val="left" w:pos="851"/>
          <w:tab w:val="left" w:pos="6841"/>
        </w:tabs>
        <w:spacing w:before="0" w:beforeAutospacing="0" w:after="0" w:afterAutospacing="0"/>
        <w:ind w:left="0" w:firstLine="709"/>
        <w:jc w:val="both"/>
        <w:rPr>
          <w:sz w:val="28"/>
          <w:szCs w:val="28"/>
          <w:lang w:val="uk-UA"/>
        </w:rPr>
      </w:pPr>
      <w:r w:rsidRPr="00B77285">
        <w:rPr>
          <w:sz w:val="28"/>
          <w:szCs w:val="28"/>
          <w:lang w:val="uk-UA"/>
        </w:rPr>
        <w:t>забезпечення збереження і популяризації духовних надбань, організація культурного дозвілля населення та зміцнення культурно</w:t>
      </w:r>
      <w:r>
        <w:rPr>
          <w:sz w:val="28"/>
          <w:szCs w:val="28"/>
          <w:lang w:val="uk-UA"/>
        </w:rPr>
        <w:t xml:space="preserve"> </w:t>
      </w:r>
      <w:proofErr w:type="spellStart"/>
      <w:r w:rsidRPr="00B77285">
        <w:rPr>
          <w:sz w:val="28"/>
          <w:szCs w:val="28"/>
          <w:lang w:val="uk-UA"/>
        </w:rPr>
        <w:t>–національних</w:t>
      </w:r>
      <w:proofErr w:type="spellEnd"/>
      <w:r w:rsidRPr="00B77285">
        <w:rPr>
          <w:sz w:val="28"/>
          <w:szCs w:val="28"/>
          <w:lang w:val="uk-UA"/>
        </w:rPr>
        <w:t xml:space="preserve"> традицій, підвищення рівня організації культурного дозвілля населення;</w:t>
      </w:r>
    </w:p>
    <w:p w:rsidR="00B77285" w:rsidRPr="00B77285" w:rsidRDefault="00B77285" w:rsidP="00B77285">
      <w:pPr>
        <w:pStyle w:val="docdata"/>
        <w:numPr>
          <w:ilvl w:val="0"/>
          <w:numId w:val="11"/>
        </w:numPr>
        <w:tabs>
          <w:tab w:val="left" w:pos="851"/>
          <w:tab w:val="left" w:pos="6841"/>
        </w:tabs>
        <w:spacing w:before="0" w:beforeAutospacing="0" w:after="0" w:afterAutospacing="0"/>
        <w:ind w:left="0" w:firstLine="709"/>
        <w:jc w:val="both"/>
        <w:rPr>
          <w:sz w:val="28"/>
          <w:szCs w:val="28"/>
          <w:lang w:val="uk-UA"/>
        </w:rPr>
      </w:pPr>
      <w:r w:rsidRPr="00B77285">
        <w:rPr>
          <w:sz w:val="28"/>
          <w:szCs w:val="28"/>
          <w:lang w:val="uk-UA"/>
        </w:rPr>
        <w:t>забезпечення естетичного виховання дітей та юнацтва, створення умов для творчого розвитку особистості, підвищення культурного рівня, естетичного виховання, доступності освіти у сфері культури для підростаючого покоління;</w:t>
      </w:r>
    </w:p>
    <w:p w:rsidR="00B77285" w:rsidRPr="00B77285" w:rsidRDefault="00B77285" w:rsidP="00B77285">
      <w:pPr>
        <w:pStyle w:val="docdata"/>
        <w:numPr>
          <w:ilvl w:val="0"/>
          <w:numId w:val="11"/>
        </w:numPr>
        <w:tabs>
          <w:tab w:val="left" w:pos="851"/>
          <w:tab w:val="left" w:pos="6841"/>
        </w:tabs>
        <w:spacing w:before="0" w:beforeAutospacing="0" w:after="0" w:afterAutospacing="0"/>
        <w:ind w:left="0" w:firstLine="709"/>
        <w:jc w:val="both"/>
        <w:rPr>
          <w:sz w:val="28"/>
          <w:szCs w:val="28"/>
          <w:lang w:val="uk-UA"/>
        </w:rPr>
      </w:pPr>
      <w:r w:rsidRPr="00B77285">
        <w:rPr>
          <w:sz w:val="28"/>
          <w:szCs w:val="28"/>
          <w:lang w:val="uk-UA"/>
        </w:rPr>
        <w:t>забезпечення організації та проведення державних, професійних свят, сільських, культурно-масових заходів (у т.ч. фестивалів, конкурсів, оглядів, виставок тощо), забезпечення участі творчих колективів та окремих виконавців села у міських, всеукраїнських, обласних і міжнародних конкурсах, фестивалях, святах; організація та проведення святкових заходів по громаді;</w:t>
      </w:r>
    </w:p>
    <w:p w:rsidR="00B77285" w:rsidRPr="00B77285" w:rsidRDefault="00B77285" w:rsidP="00B77285">
      <w:pPr>
        <w:tabs>
          <w:tab w:val="left" w:pos="851"/>
        </w:tabs>
        <w:ind w:firstLine="709"/>
        <w:rPr>
          <w:sz w:val="28"/>
          <w:szCs w:val="28"/>
          <w:lang w:val="uk-UA"/>
        </w:rPr>
      </w:pPr>
      <w:r w:rsidRPr="00B77285">
        <w:rPr>
          <w:sz w:val="28"/>
          <w:szCs w:val="28"/>
          <w:lang w:val="uk-UA"/>
        </w:rPr>
        <w:t>У 2022-2024 роках передбачається здійснення таких заходів:</w:t>
      </w:r>
    </w:p>
    <w:p w:rsidR="00B77285" w:rsidRPr="00B77285" w:rsidRDefault="00B77285" w:rsidP="00B77285">
      <w:pPr>
        <w:pStyle w:val="a8"/>
        <w:numPr>
          <w:ilvl w:val="0"/>
          <w:numId w:val="4"/>
        </w:numPr>
        <w:tabs>
          <w:tab w:val="left" w:pos="851"/>
        </w:tabs>
        <w:ind w:left="0" w:firstLine="709"/>
        <w:rPr>
          <w:szCs w:val="28"/>
        </w:rPr>
      </w:pPr>
      <w:r w:rsidRPr="00B77285">
        <w:rPr>
          <w:szCs w:val="28"/>
        </w:rPr>
        <w:t>забезпечення утримання та розвитку інфраструктури закладів культури;</w:t>
      </w:r>
    </w:p>
    <w:p w:rsidR="00B77285" w:rsidRPr="00B77285" w:rsidRDefault="00B77285" w:rsidP="00B77285">
      <w:pPr>
        <w:pStyle w:val="aa"/>
        <w:numPr>
          <w:ilvl w:val="0"/>
          <w:numId w:val="4"/>
        </w:numPr>
        <w:tabs>
          <w:tab w:val="left" w:pos="851"/>
        </w:tabs>
        <w:ind w:left="0" w:right="0" w:firstLine="709"/>
        <w:rPr>
          <w:sz w:val="28"/>
          <w:szCs w:val="28"/>
        </w:rPr>
      </w:pPr>
      <w:r w:rsidRPr="00B77285">
        <w:rPr>
          <w:sz w:val="28"/>
          <w:szCs w:val="28"/>
        </w:rPr>
        <w:t>зміцнення матеріально-технічної бази закладів культури та технічного переоснащення закладів;</w:t>
      </w:r>
    </w:p>
    <w:p w:rsidR="00B77285" w:rsidRPr="00B77285" w:rsidRDefault="00B77285" w:rsidP="00B77285">
      <w:pPr>
        <w:pStyle w:val="aa"/>
        <w:numPr>
          <w:ilvl w:val="0"/>
          <w:numId w:val="4"/>
        </w:numPr>
        <w:tabs>
          <w:tab w:val="left" w:pos="851"/>
        </w:tabs>
        <w:ind w:left="0" w:right="0" w:firstLine="709"/>
        <w:rPr>
          <w:sz w:val="28"/>
          <w:szCs w:val="28"/>
        </w:rPr>
      </w:pPr>
      <w:r w:rsidRPr="00B77285">
        <w:rPr>
          <w:sz w:val="28"/>
          <w:szCs w:val="28"/>
        </w:rPr>
        <w:t>забезпечення поповнення бібліотечних фондів;</w:t>
      </w:r>
    </w:p>
    <w:p w:rsidR="00B77285" w:rsidRPr="00B77285" w:rsidRDefault="00B77285" w:rsidP="00B77285">
      <w:pPr>
        <w:pStyle w:val="docdata"/>
        <w:numPr>
          <w:ilvl w:val="0"/>
          <w:numId w:val="4"/>
        </w:numPr>
        <w:tabs>
          <w:tab w:val="left" w:pos="851"/>
          <w:tab w:val="left" w:pos="6841"/>
        </w:tabs>
        <w:spacing w:before="0" w:beforeAutospacing="0" w:after="0" w:afterAutospacing="0"/>
        <w:ind w:left="0" w:firstLine="709"/>
        <w:jc w:val="both"/>
        <w:rPr>
          <w:sz w:val="28"/>
          <w:szCs w:val="28"/>
          <w:lang w:val="uk-UA"/>
        </w:rPr>
      </w:pPr>
      <w:r w:rsidRPr="00B77285">
        <w:rPr>
          <w:sz w:val="28"/>
          <w:szCs w:val="28"/>
          <w:lang w:val="uk-UA"/>
        </w:rPr>
        <w:t>забезпечення доступності для людей з обмеженими властивостями руху.</w:t>
      </w:r>
    </w:p>
    <w:p w:rsidR="00B77285" w:rsidRPr="00B77285" w:rsidRDefault="00B77285" w:rsidP="00B77285">
      <w:pPr>
        <w:pStyle w:val="a4"/>
        <w:shd w:val="clear" w:color="auto" w:fill="FFFFFF"/>
        <w:tabs>
          <w:tab w:val="left" w:pos="851"/>
        </w:tabs>
        <w:spacing w:before="0" w:beforeAutospacing="0" w:after="0" w:afterAutospacing="0"/>
        <w:ind w:firstLine="709"/>
        <w:jc w:val="both"/>
        <w:rPr>
          <w:sz w:val="28"/>
          <w:szCs w:val="28"/>
        </w:rPr>
      </w:pPr>
      <w:r w:rsidRPr="00B77285">
        <w:rPr>
          <w:sz w:val="28"/>
          <w:szCs w:val="28"/>
        </w:rPr>
        <w:t xml:space="preserve">Основними результатами, яких планується досягти, є підвищення рівня культурного обслуговування громадян, забезпечення їх доступу до культурних надбань. </w:t>
      </w:r>
    </w:p>
    <w:p w:rsidR="00B77285" w:rsidRPr="00B77285" w:rsidRDefault="00B77285" w:rsidP="00B77285">
      <w:pPr>
        <w:pStyle w:val="Default"/>
        <w:tabs>
          <w:tab w:val="left" w:pos="851"/>
        </w:tabs>
        <w:ind w:firstLine="709"/>
        <w:jc w:val="both"/>
        <w:rPr>
          <w:sz w:val="28"/>
          <w:szCs w:val="28"/>
          <w:lang w:val="uk-UA"/>
        </w:rPr>
      </w:pPr>
      <w:r w:rsidRPr="00B77285">
        <w:rPr>
          <w:b/>
          <w:sz w:val="28"/>
          <w:szCs w:val="28"/>
          <w:lang w:val="uk-UA"/>
        </w:rPr>
        <w:t xml:space="preserve">У галузі фізичної культури і спорту </w:t>
      </w:r>
      <w:r w:rsidRPr="00B77285">
        <w:rPr>
          <w:sz w:val="28"/>
          <w:szCs w:val="28"/>
          <w:lang w:val="uk-UA"/>
        </w:rPr>
        <w:t>пріоритетними напрямками розвитку є:</w:t>
      </w:r>
    </w:p>
    <w:p w:rsidR="00B77285" w:rsidRPr="00B77285" w:rsidRDefault="00B77285" w:rsidP="00B77285">
      <w:pPr>
        <w:pStyle w:val="Default"/>
        <w:numPr>
          <w:ilvl w:val="0"/>
          <w:numId w:val="4"/>
        </w:numPr>
        <w:tabs>
          <w:tab w:val="left" w:pos="851"/>
        </w:tabs>
        <w:ind w:left="0" w:firstLine="709"/>
        <w:jc w:val="both"/>
        <w:rPr>
          <w:sz w:val="28"/>
          <w:szCs w:val="28"/>
          <w:lang w:val="uk-UA"/>
        </w:rPr>
      </w:pPr>
      <w:r w:rsidRPr="00B77285">
        <w:rPr>
          <w:spacing w:val="6"/>
          <w:sz w:val="28"/>
          <w:szCs w:val="28"/>
          <w:lang w:val="uk-UA"/>
        </w:rPr>
        <w:t>ф</w:t>
      </w:r>
      <w:r w:rsidRPr="00B77285">
        <w:rPr>
          <w:sz w:val="28"/>
          <w:szCs w:val="28"/>
          <w:lang w:val="uk-UA"/>
        </w:rPr>
        <w:t>ормування у населення традицій та мотивації щодо занять фізичною культурою і спортом як важливих складових забезпечення здорового способу життя, популяризація здорового способу життя та подолання стану суспільної байдужості до здоров’я нації;</w:t>
      </w:r>
    </w:p>
    <w:p w:rsidR="00B77285" w:rsidRPr="00B77285" w:rsidRDefault="00B77285" w:rsidP="00B77285">
      <w:pPr>
        <w:pStyle w:val="a9"/>
        <w:numPr>
          <w:ilvl w:val="0"/>
          <w:numId w:val="4"/>
        </w:numPr>
        <w:tabs>
          <w:tab w:val="left" w:pos="567"/>
          <w:tab w:val="left" w:pos="851"/>
        </w:tabs>
        <w:spacing w:before="0"/>
        <w:ind w:left="0" w:firstLine="709"/>
        <w:jc w:val="both"/>
        <w:rPr>
          <w:sz w:val="28"/>
          <w:szCs w:val="28"/>
        </w:rPr>
      </w:pPr>
      <w:r w:rsidRPr="00B77285">
        <w:rPr>
          <w:sz w:val="28"/>
          <w:szCs w:val="28"/>
        </w:rPr>
        <w:t>належне обладнання та використання спортивних споруд.</w:t>
      </w:r>
    </w:p>
    <w:p w:rsidR="00B77285" w:rsidRPr="00B77285" w:rsidRDefault="00B77285" w:rsidP="00B77285">
      <w:pPr>
        <w:pStyle w:val="a9"/>
        <w:tabs>
          <w:tab w:val="left" w:pos="851"/>
        </w:tabs>
        <w:spacing w:before="0"/>
        <w:ind w:firstLine="709"/>
        <w:jc w:val="both"/>
        <w:rPr>
          <w:sz w:val="28"/>
          <w:szCs w:val="28"/>
        </w:rPr>
      </w:pPr>
      <w:r w:rsidRPr="00B77285">
        <w:rPr>
          <w:sz w:val="28"/>
          <w:szCs w:val="28"/>
        </w:rPr>
        <w:t xml:space="preserve">У 2022 та 2024 роках передбачається здійснити такі заходи: </w:t>
      </w:r>
    </w:p>
    <w:p w:rsidR="00B77285" w:rsidRPr="00B77285" w:rsidRDefault="00B77285" w:rsidP="00B77285">
      <w:pPr>
        <w:pStyle w:val="Default"/>
        <w:numPr>
          <w:ilvl w:val="0"/>
          <w:numId w:val="5"/>
        </w:numPr>
        <w:tabs>
          <w:tab w:val="left" w:pos="851"/>
        </w:tabs>
        <w:ind w:left="0" w:firstLine="709"/>
        <w:jc w:val="both"/>
        <w:rPr>
          <w:sz w:val="28"/>
          <w:szCs w:val="28"/>
          <w:lang w:val="uk-UA"/>
        </w:rPr>
      </w:pPr>
      <w:r w:rsidRPr="00B77285">
        <w:rPr>
          <w:sz w:val="28"/>
          <w:szCs w:val="28"/>
          <w:lang w:val="uk-UA"/>
        </w:rPr>
        <w:t>збільшення кількості проведених навчально-тренувальних зборів, змагань, спортивно-масових заходів;</w:t>
      </w:r>
    </w:p>
    <w:p w:rsidR="00B77285" w:rsidRPr="00B77285" w:rsidRDefault="00B77285" w:rsidP="00B77285">
      <w:pPr>
        <w:pStyle w:val="Default"/>
        <w:numPr>
          <w:ilvl w:val="0"/>
          <w:numId w:val="5"/>
        </w:numPr>
        <w:tabs>
          <w:tab w:val="left" w:pos="851"/>
        </w:tabs>
        <w:spacing w:after="24"/>
        <w:ind w:left="0" w:firstLine="709"/>
        <w:jc w:val="both"/>
        <w:rPr>
          <w:sz w:val="28"/>
          <w:szCs w:val="28"/>
          <w:lang w:val="uk-UA"/>
        </w:rPr>
      </w:pPr>
      <w:r w:rsidRPr="00B77285">
        <w:rPr>
          <w:sz w:val="28"/>
          <w:szCs w:val="28"/>
          <w:lang w:val="uk-UA"/>
        </w:rPr>
        <w:t>забезпечення збереження передових позицій успішної участі мешканців громади у змаганнях різного рівня;</w:t>
      </w:r>
    </w:p>
    <w:p w:rsidR="00B77285" w:rsidRPr="00B77285" w:rsidRDefault="00B77285" w:rsidP="00B77285">
      <w:pPr>
        <w:pStyle w:val="Default"/>
        <w:numPr>
          <w:ilvl w:val="0"/>
          <w:numId w:val="5"/>
        </w:numPr>
        <w:tabs>
          <w:tab w:val="left" w:pos="851"/>
        </w:tabs>
        <w:spacing w:after="24"/>
        <w:ind w:left="0" w:firstLine="709"/>
        <w:jc w:val="both"/>
        <w:rPr>
          <w:sz w:val="28"/>
          <w:szCs w:val="28"/>
          <w:lang w:val="uk-UA"/>
        </w:rPr>
      </w:pPr>
      <w:r w:rsidRPr="00B77285">
        <w:rPr>
          <w:sz w:val="28"/>
          <w:szCs w:val="28"/>
          <w:lang w:val="uk-UA"/>
        </w:rPr>
        <w:t>насичення спортивними спорудами у кількості і якості, що надасть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спорудами, які б давали можливість забезпечити на даних спорудах максимальний обсяг рухової активності.</w:t>
      </w:r>
    </w:p>
    <w:p w:rsidR="00B77285" w:rsidRPr="00B77285" w:rsidRDefault="00B77285" w:rsidP="00B77285">
      <w:pPr>
        <w:pStyle w:val="Default"/>
        <w:tabs>
          <w:tab w:val="left" w:pos="851"/>
        </w:tabs>
        <w:spacing w:after="24"/>
        <w:ind w:firstLine="709"/>
        <w:jc w:val="both"/>
        <w:rPr>
          <w:sz w:val="28"/>
          <w:szCs w:val="28"/>
          <w:lang w:val="uk-UA"/>
        </w:rPr>
      </w:pPr>
      <w:r w:rsidRPr="00B77285">
        <w:rPr>
          <w:sz w:val="28"/>
          <w:szCs w:val="28"/>
          <w:lang w:val="uk-UA"/>
        </w:rPr>
        <w:lastRenderedPageBreak/>
        <w:t>Основними результатами, яких планується досягти від реалізації заходів, є збільшення населення, яке займається фізичною культурою і спортом під час проведення активного дозвілля та забезпечення здорового способу життя.</w:t>
      </w:r>
    </w:p>
    <w:p w:rsidR="00B77285" w:rsidRPr="00B77285" w:rsidRDefault="00B77285" w:rsidP="00B77285">
      <w:pPr>
        <w:pStyle w:val="rvps122"/>
        <w:tabs>
          <w:tab w:val="left" w:pos="709"/>
          <w:tab w:val="left" w:pos="851"/>
        </w:tabs>
        <w:spacing w:before="0" w:beforeAutospacing="0" w:after="0" w:afterAutospacing="0"/>
        <w:ind w:firstLine="709"/>
        <w:jc w:val="both"/>
        <w:rPr>
          <w:sz w:val="28"/>
          <w:szCs w:val="28"/>
          <w:lang w:val="uk-UA"/>
        </w:rPr>
      </w:pPr>
      <w:r w:rsidRPr="00B77285">
        <w:rPr>
          <w:b/>
          <w:sz w:val="28"/>
          <w:szCs w:val="28"/>
          <w:lang w:val="uk-UA"/>
        </w:rPr>
        <w:t>У галузі житлово-комунального господарства</w:t>
      </w:r>
      <w:r w:rsidRPr="00B77285">
        <w:rPr>
          <w:sz w:val="28"/>
          <w:szCs w:val="28"/>
          <w:lang w:val="uk-UA"/>
        </w:rPr>
        <w:t xml:space="preserve"> пріоритетними напрямками розвитку є: </w:t>
      </w:r>
    </w:p>
    <w:p w:rsidR="00B77285" w:rsidRPr="00B77285" w:rsidRDefault="00B77285" w:rsidP="00B77285">
      <w:pPr>
        <w:pStyle w:val="rvps122"/>
        <w:numPr>
          <w:ilvl w:val="0"/>
          <w:numId w:val="5"/>
        </w:numPr>
        <w:tabs>
          <w:tab w:val="left" w:pos="851"/>
        </w:tabs>
        <w:spacing w:before="0" w:beforeAutospacing="0" w:after="0" w:afterAutospacing="0"/>
        <w:ind w:left="0" w:firstLine="709"/>
        <w:jc w:val="both"/>
        <w:rPr>
          <w:sz w:val="28"/>
          <w:szCs w:val="28"/>
          <w:lang w:val="uk-UA"/>
        </w:rPr>
      </w:pPr>
      <w:r w:rsidRPr="00B77285">
        <w:rPr>
          <w:sz w:val="28"/>
          <w:szCs w:val="28"/>
          <w:lang w:val="uk-UA"/>
        </w:rPr>
        <w:t>здійснення заходів щодо підвищення ефективності та надійного функціонування житлово-комунального господарства;</w:t>
      </w:r>
    </w:p>
    <w:p w:rsidR="00B77285" w:rsidRPr="00B77285" w:rsidRDefault="00B77285" w:rsidP="00B77285">
      <w:pPr>
        <w:pStyle w:val="rvps122"/>
        <w:numPr>
          <w:ilvl w:val="0"/>
          <w:numId w:val="5"/>
        </w:numPr>
        <w:tabs>
          <w:tab w:val="left" w:pos="851"/>
        </w:tabs>
        <w:spacing w:before="0" w:beforeAutospacing="0" w:after="0" w:afterAutospacing="0"/>
        <w:ind w:left="0" w:firstLine="709"/>
        <w:jc w:val="both"/>
        <w:rPr>
          <w:sz w:val="28"/>
          <w:szCs w:val="28"/>
          <w:lang w:val="uk-UA"/>
        </w:rPr>
      </w:pPr>
      <w:r w:rsidRPr="00B77285">
        <w:rPr>
          <w:sz w:val="28"/>
          <w:szCs w:val="28"/>
          <w:lang w:val="uk-UA"/>
        </w:rPr>
        <w:t xml:space="preserve">підвищення ефективності використання енергоносіїв та інших ресурсів, впровадження проєктів по енергоефективності житлових будинків та об’єктів соціально-культурної сфери громади;   </w:t>
      </w:r>
    </w:p>
    <w:p w:rsidR="00B77285" w:rsidRPr="00B77285" w:rsidRDefault="00B77285" w:rsidP="00B77285">
      <w:pPr>
        <w:pStyle w:val="rvps122"/>
        <w:numPr>
          <w:ilvl w:val="0"/>
          <w:numId w:val="5"/>
        </w:numPr>
        <w:tabs>
          <w:tab w:val="left" w:pos="851"/>
        </w:tabs>
        <w:spacing w:before="0" w:beforeAutospacing="0" w:after="0" w:afterAutospacing="0"/>
        <w:ind w:left="0" w:firstLine="709"/>
        <w:jc w:val="both"/>
        <w:rPr>
          <w:sz w:val="28"/>
          <w:szCs w:val="28"/>
          <w:lang w:val="uk-UA"/>
        </w:rPr>
      </w:pPr>
      <w:r w:rsidRPr="00B77285">
        <w:rPr>
          <w:sz w:val="28"/>
          <w:szCs w:val="28"/>
          <w:lang w:val="uk-UA"/>
        </w:rPr>
        <w:t>підтримка різних форм самоорганізації населення.</w:t>
      </w:r>
    </w:p>
    <w:p w:rsidR="00B77285" w:rsidRPr="00B77285" w:rsidRDefault="00B77285" w:rsidP="00B77285">
      <w:pPr>
        <w:pStyle w:val="rvps122"/>
        <w:tabs>
          <w:tab w:val="left" w:pos="709"/>
          <w:tab w:val="left" w:pos="851"/>
        </w:tabs>
        <w:spacing w:before="0" w:beforeAutospacing="0" w:after="0" w:afterAutospacing="0"/>
        <w:ind w:firstLine="709"/>
        <w:jc w:val="both"/>
        <w:rPr>
          <w:sz w:val="28"/>
          <w:szCs w:val="28"/>
          <w:lang w:val="uk-UA"/>
        </w:rPr>
      </w:pPr>
      <w:r w:rsidRPr="00B77285">
        <w:rPr>
          <w:sz w:val="28"/>
          <w:szCs w:val="28"/>
          <w:lang w:val="uk-UA"/>
        </w:rPr>
        <w:t xml:space="preserve">У 2022 та 2024 роках передбачається здійснити такі заходи: </w:t>
      </w:r>
    </w:p>
    <w:p w:rsidR="00B77285" w:rsidRPr="00B77285" w:rsidRDefault="00B77285" w:rsidP="00B77285">
      <w:pPr>
        <w:pStyle w:val="rvps122"/>
        <w:numPr>
          <w:ilvl w:val="0"/>
          <w:numId w:val="6"/>
        </w:numPr>
        <w:tabs>
          <w:tab w:val="left" w:pos="0"/>
          <w:tab w:val="left" w:pos="851"/>
        </w:tabs>
        <w:spacing w:before="0" w:beforeAutospacing="0" w:after="0" w:afterAutospacing="0"/>
        <w:ind w:left="0" w:firstLine="709"/>
        <w:jc w:val="both"/>
        <w:rPr>
          <w:sz w:val="28"/>
          <w:szCs w:val="28"/>
          <w:lang w:val="uk-UA"/>
        </w:rPr>
      </w:pPr>
      <w:r w:rsidRPr="00B77285">
        <w:rPr>
          <w:sz w:val="28"/>
          <w:szCs w:val="28"/>
          <w:lang w:val="uk-UA"/>
        </w:rPr>
        <w:t>покращання благоустрою та розвиток територій громадського призначення;</w:t>
      </w:r>
    </w:p>
    <w:p w:rsidR="00B77285" w:rsidRPr="00B77285" w:rsidRDefault="00B77285" w:rsidP="00B77285">
      <w:pPr>
        <w:pStyle w:val="rvps122"/>
        <w:numPr>
          <w:ilvl w:val="0"/>
          <w:numId w:val="6"/>
        </w:numPr>
        <w:tabs>
          <w:tab w:val="left" w:pos="0"/>
          <w:tab w:val="left" w:pos="851"/>
        </w:tabs>
        <w:spacing w:before="0" w:beforeAutospacing="0" w:after="0" w:afterAutospacing="0"/>
        <w:ind w:left="0" w:firstLine="709"/>
        <w:jc w:val="both"/>
        <w:rPr>
          <w:sz w:val="28"/>
          <w:szCs w:val="28"/>
          <w:lang w:val="uk-UA"/>
        </w:rPr>
      </w:pPr>
      <w:r w:rsidRPr="00B77285">
        <w:rPr>
          <w:sz w:val="28"/>
          <w:szCs w:val="28"/>
          <w:lang w:val="uk-UA"/>
        </w:rPr>
        <w:t xml:space="preserve">забезпечення стабільної роботи, належного рівня та якості послуг в житлово-комунальному господарстві;   </w:t>
      </w:r>
    </w:p>
    <w:p w:rsidR="00B77285" w:rsidRPr="00B77285" w:rsidRDefault="00B77285" w:rsidP="00B77285">
      <w:pPr>
        <w:pStyle w:val="rvps122"/>
        <w:numPr>
          <w:ilvl w:val="0"/>
          <w:numId w:val="6"/>
        </w:numPr>
        <w:tabs>
          <w:tab w:val="left" w:pos="0"/>
          <w:tab w:val="left" w:pos="851"/>
        </w:tabs>
        <w:spacing w:before="0" w:beforeAutospacing="0" w:after="0" w:afterAutospacing="0"/>
        <w:ind w:left="0" w:firstLine="709"/>
        <w:jc w:val="both"/>
        <w:rPr>
          <w:sz w:val="28"/>
          <w:szCs w:val="28"/>
          <w:lang w:val="uk-UA"/>
        </w:rPr>
      </w:pPr>
      <w:r w:rsidRPr="00B77285">
        <w:rPr>
          <w:sz w:val="28"/>
          <w:szCs w:val="28"/>
          <w:lang w:val="uk-UA"/>
        </w:rPr>
        <w:t xml:space="preserve">забезпечення належного утримання вулично-дорожньої інфраструктури; </w:t>
      </w:r>
    </w:p>
    <w:p w:rsidR="00B77285" w:rsidRPr="00B77285" w:rsidRDefault="00B77285" w:rsidP="00B77285">
      <w:pPr>
        <w:pStyle w:val="rvps122"/>
        <w:numPr>
          <w:ilvl w:val="0"/>
          <w:numId w:val="6"/>
        </w:numPr>
        <w:tabs>
          <w:tab w:val="left" w:pos="0"/>
          <w:tab w:val="left" w:pos="851"/>
        </w:tabs>
        <w:spacing w:before="0" w:beforeAutospacing="0" w:after="0" w:afterAutospacing="0"/>
        <w:ind w:left="0" w:firstLine="709"/>
        <w:jc w:val="both"/>
        <w:rPr>
          <w:sz w:val="28"/>
          <w:szCs w:val="28"/>
          <w:lang w:val="uk-UA"/>
        </w:rPr>
      </w:pPr>
      <w:r w:rsidRPr="00B77285">
        <w:rPr>
          <w:sz w:val="28"/>
          <w:szCs w:val="28"/>
          <w:lang w:val="uk-UA"/>
        </w:rPr>
        <w:t>продовження робіт з реконструкції та встановлення нових ліній зовнішнього освітлення із застосуванням новітніх технологій та елементів енергозбереження;</w:t>
      </w:r>
    </w:p>
    <w:p w:rsidR="00B77285" w:rsidRPr="00B77285" w:rsidRDefault="00B77285" w:rsidP="00B77285">
      <w:pPr>
        <w:pStyle w:val="rvps122"/>
        <w:numPr>
          <w:ilvl w:val="0"/>
          <w:numId w:val="6"/>
        </w:numPr>
        <w:tabs>
          <w:tab w:val="left" w:pos="0"/>
          <w:tab w:val="left" w:pos="851"/>
        </w:tabs>
        <w:spacing w:before="0" w:beforeAutospacing="0" w:after="0" w:afterAutospacing="0"/>
        <w:ind w:left="0" w:firstLine="709"/>
        <w:jc w:val="both"/>
        <w:rPr>
          <w:sz w:val="28"/>
          <w:szCs w:val="28"/>
          <w:lang w:val="uk-UA"/>
        </w:rPr>
      </w:pPr>
      <w:r w:rsidRPr="00B77285">
        <w:rPr>
          <w:sz w:val="28"/>
          <w:szCs w:val="28"/>
          <w:lang w:val="uk-UA"/>
        </w:rPr>
        <w:t>заходи з енергозбереження, впровадження енергоефективних та інноваційних технологій в житлово-комунальному господарстві, заохочення населення до впровадження енергозберігаючих заходів;</w:t>
      </w:r>
    </w:p>
    <w:p w:rsidR="00B77285" w:rsidRPr="00B77285" w:rsidRDefault="00B77285" w:rsidP="00B77285">
      <w:pPr>
        <w:pStyle w:val="rvps122"/>
        <w:numPr>
          <w:ilvl w:val="0"/>
          <w:numId w:val="6"/>
        </w:numPr>
        <w:tabs>
          <w:tab w:val="left" w:pos="0"/>
          <w:tab w:val="left" w:pos="851"/>
        </w:tabs>
        <w:spacing w:before="0" w:beforeAutospacing="0" w:after="0" w:afterAutospacing="0"/>
        <w:ind w:left="0" w:firstLine="709"/>
        <w:jc w:val="both"/>
        <w:rPr>
          <w:sz w:val="28"/>
          <w:szCs w:val="28"/>
          <w:lang w:val="uk-UA"/>
        </w:rPr>
      </w:pPr>
      <w:r w:rsidRPr="00B77285">
        <w:rPr>
          <w:sz w:val="28"/>
          <w:szCs w:val="28"/>
          <w:lang w:val="uk-UA"/>
        </w:rPr>
        <w:t>стимулювання створення об’єднань співвласників багатоквартирних житлових будинків та органів самоорганізації населення.</w:t>
      </w:r>
    </w:p>
    <w:p w:rsidR="00B77285" w:rsidRPr="00B77285" w:rsidRDefault="00B77285" w:rsidP="00B77285">
      <w:pPr>
        <w:pStyle w:val="rvps122"/>
        <w:tabs>
          <w:tab w:val="left" w:pos="709"/>
          <w:tab w:val="left" w:pos="851"/>
        </w:tabs>
        <w:spacing w:before="0" w:beforeAutospacing="0" w:after="0" w:afterAutospacing="0"/>
        <w:ind w:firstLine="709"/>
        <w:jc w:val="both"/>
        <w:rPr>
          <w:sz w:val="28"/>
          <w:szCs w:val="28"/>
          <w:lang w:val="uk-UA"/>
        </w:rPr>
      </w:pPr>
      <w:r w:rsidRPr="00B77285">
        <w:rPr>
          <w:sz w:val="28"/>
          <w:szCs w:val="28"/>
          <w:lang w:val="uk-UA"/>
        </w:rPr>
        <w:t xml:space="preserve">Основними результатами, яких планується досягти, є: </w:t>
      </w:r>
    </w:p>
    <w:p w:rsidR="00B77285" w:rsidRPr="00B77285" w:rsidRDefault="00B77285" w:rsidP="00B77285">
      <w:pPr>
        <w:pStyle w:val="rvps122"/>
        <w:numPr>
          <w:ilvl w:val="0"/>
          <w:numId w:val="6"/>
        </w:numPr>
        <w:tabs>
          <w:tab w:val="left" w:pos="851"/>
        </w:tabs>
        <w:spacing w:before="0" w:beforeAutospacing="0" w:after="0" w:afterAutospacing="0"/>
        <w:ind w:left="0" w:firstLine="709"/>
        <w:jc w:val="both"/>
        <w:rPr>
          <w:sz w:val="28"/>
          <w:szCs w:val="28"/>
          <w:lang w:val="uk-UA"/>
        </w:rPr>
      </w:pPr>
      <w:r w:rsidRPr="00B77285">
        <w:rPr>
          <w:sz w:val="28"/>
          <w:szCs w:val="28"/>
          <w:lang w:val="uk-UA"/>
        </w:rPr>
        <w:t xml:space="preserve">покращання благоустрою громади; </w:t>
      </w:r>
    </w:p>
    <w:p w:rsidR="00B77285" w:rsidRPr="00B77285" w:rsidRDefault="00B77285" w:rsidP="00B77285">
      <w:pPr>
        <w:pStyle w:val="rvps122"/>
        <w:numPr>
          <w:ilvl w:val="0"/>
          <w:numId w:val="6"/>
        </w:numPr>
        <w:tabs>
          <w:tab w:val="left" w:pos="851"/>
        </w:tabs>
        <w:spacing w:before="0" w:beforeAutospacing="0" w:after="0" w:afterAutospacing="0"/>
        <w:ind w:left="0" w:firstLine="709"/>
        <w:jc w:val="both"/>
        <w:rPr>
          <w:sz w:val="28"/>
          <w:szCs w:val="28"/>
          <w:lang w:val="uk-UA"/>
        </w:rPr>
      </w:pPr>
      <w:r w:rsidRPr="00B77285">
        <w:rPr>
          <w:sz w:val="28"/>
          <w:szCs w:val="28"/>
          <w:lang w:val="uk-UA"/>
        </w:rPr>
        <w:t>покращання  стану вулично-дорожньої мережі;</w:t>
      </w:r>
    </w:p>
    <w:p w:rsidR="00B77285" w:rsidRPr="00B77285" w:rsidRDefault="00B77285" w:rsidP="00B77285">
      <w:pPr>
        <w:pStyle w:val="rvps122"/>
        <w:numPr>
          <w:ilvl w:val="0"/>
          <w:numId w:val="6"/>
        </w:numPr>
        <w:tabs>
          <w:tab w:val="left" w:pos="851"/>
        </w:tabs>
        <w:spacing w:before="0" w:beforeAutospacing="0" w:after="0" w:afterAutospacing="0"/>
        <w:ind w:left="0" w:firstLine="709"/>
        <w:jc w:val="both"/>
        <w:rPr>
          <w:sz w:val="28"/>
          <w:szCs w:val="28"/>
          <w:lang w:val="uk-UA"/>
        </w:rPr>
      </w:pPr>
      <w:r w:rsidRPr="00B77285">
        <w:rPr>
          <w:sz w:val="28"/>
          <w:szCs w:val="28"/>
          <w:lang w:val="uk-UA"/>
        </w:rPr>
        <w:t xml:space="preserve">забезпечення населення житлово-комунальними послугами високого рівня і якості відповідно до вимог національних стандартів; </w:t>
      </w:r>
    </w:p>
    <w:p w:rsidR="00B77285" w:rsidRPr="00B77285" w:rsidRDefault="00B77285" w:rsidP="00B77285">
      <w:pPr>
        <w:pStyle w:val="rvps122"/>
        <w:numPr>
          <w:ilvl w:val="0"/>
          <w:numId w:val="6"/>
        </w:numPr>
        <w:tabs>
          <w:tab w:val="left" w:pos="851"/>
        </w:tabs>
        <w:spacing w:before="0" w:beforeAutospacing="0" w:after="0" w:afterAutospacing="0"/>
        <w:ind w:left="0" w:firstLine="709"/>
        <w:jc w:val="both"/>
        <w:rPr>
          <w:sz w:val="28"/>
          <w:szCs w:val="28"/>
          <w:lang w:val="uk-UA"/>
        </w:rPr>
      </w:pPr>
      <w:r w:rsidRPr="00B77285">
        <w:rPr>
          <w:sz w:val="28"/>
          <w:szCs w:val="28"/>
          <w:lang w:val="uk-UA"/>
        </w:rPr>
        <w:t xml:space="preserve">створення сприятливих умов для залучення інвестицій у сферу житлово-комунального господарства; </w:t>
      </w:r>
    </w:p>
    <w:p w:rsidR="00B77285" w:rsidRPr="00B77285" w:rsidRDefault="00B77285" w:rsidP="00B77285">
      <w:pPr>
        <w:numPr>
          <w:ilvl w:val="0"/>
          <w:numId w:val="6"/>
        </w:numPr>
        <w:tabs>
          <w:tab w:val="left" w:pos="851"/>
        </w:tabs>
        <w:ind w:left="0" w:firstLine="709"/>
        <w:jc w:val="both"/>
        <w:rPr>
          <w:sz w:val="28"/>
          <w:szCs w:val="28"/>
          <w:lang w:val="uk-UA"/>
        </w:rPr>
      </w:pPr>
      <w:r w:rsidRPr="00B77285">
        <w:rPr>
          <w:sz w:val="28"/>
          <w:szCs w:val="28"/>
          <w:lang w:val="uk-UA"/>
        </w:rPr>
        <w:t>зменшення витрат енергоресурсів;</w:t>
      </w:r>
    </w:p>
    <w:p w:rsidR="00B77285" w:rsidRPr="00B77285" w:rsidRDefault="00B77285" w:rsidP="00B77285">
      <w:pPr>
        <w:pStyle w:val="rvps122"/>
        <w:numPr>
          <w:ilvl w:val="0"/>
          <w:numId w:val="6"/>
        </w:numPr>
        <w:tabs>
          <w:tab w:val="left" w:pos="851"/>
        </w:tabs>
        <w:spacing w:before="0" w:beforeAutospacing="0" w:after="0" w:afterAutospacing="0"/>
        <w:ind w:left="0" w:firstLine="709"/>
        <w:jc w:val="both"/>
        <w:rPr>
          <w:sz w:val="28"/>
          <w:szCs w:val="28"/>
          <w:lang w:val="uk-UA"/>
        </w:rPr>
      </w:pPr>
      <w:r w:rsidRPr="00B77285">
        <w:rPr>
          <w:sz w:val="28"/>
          <w:szCs w:val="28"/>
          <w:lang w:val="uk-UA"/>
        </w:rPr>
        <w:t>безпечне співіснування людей і тварин.</w:t>
      </w:r>
    </w:p>
    <w:p w:rsidR="00B77285" w:rsidRPr="00B77285" w:rsidRDefault="00B77285" w:rsidP="00B77285">
      <w:pPr>
        <w:pStyle w:val="rvps122"/>
        <w:tabs>
          <w:tab w:val="left" w:pos="851"/>
        </w:tabs>
        <w:spacing w:before="0" w:beforeAutospacing="0" w:after="0" w:afterAutospacing="0"/>
        <w:ind w:firstLine="709"/>
        <w:jc w:val="both"/>
        <w:rPr>
          <w:sz w:val="28"/>
          <w:szCs w:val="28"/>
          <w:lang w:val="uk-UA"/>
        </w:rPr>
      </w:pPr>
      <w:r w:rsidRPr="00B77285">
        <w:rPr>
          <w:b/>
          <w:sz w:val="28"/>
          <w:szCs w:val="28"/>
          <w:lang w:val="uk-UA"/>
        </w:rPr>
        <w:t>У галузі дорожньо-транспортної господарства</w:t>
      </w:r>
      <w:r>
        <w:rPr>
          <w:b/>
          <w:sz w:val="28"/>
          <w:szCs w:val="28"/>
          <w:lang w:val="uk-UA"/>
        </w:rPr>
        <w:t xml:space="preserve"> </w:t>
      </w:r>
      <w:r w:rsidRPr="00B77285">
        <w:rPr>
          <w:sz w:val="28"/>
          <w:szCs w:val="28"/>
          <w:lang w:val="uk-UA"/>
        </w:rPr>
        <w:t xml:space="preserve">пріоритетними напрямками розвитку є: </w:t>
      </w:r>
    </w:p>
    <w:p w:rsidR="00B77285" w:rsidRPr="00B77285" w:rsidRDefault="00B77285" w:rsidP="00B77285">
      <w:pPr>
        <w:pStyle w:val="rvps122"/>
        <w:numPr>
          <w:ilvl w:val="0"/>
          <w:numId w:val="6"/>
        </w:numPr>
        <w:tabs>
          <w:tab w:val="left" w:pos="851"/>
        </w:tabs>
        <w:spacing w:before="0" w:beforeAutospacing="0" w:after="0" w:afterAutospacing="0"/>
        <w:ind w:left="0" w:firstLine="709"/>
        <w:jc w:val="both"/>
        <w:rPr>
          <w:sz w:val="28"/>
          <w:szCs w:val="28"/>
          <w:lang w:val="uk-UA"/>
        </w:rPr>
      </w:pPr>
      <w:r w:rsidRPr="00B77285">
        <w:rPr>
          <w:sz w:val="28"/>
          <w:szCs w:val="28"/>
          <w:lang w:val="uk-UA"/>
        </w:rPr>
        <w:t>збереження існуючої дорожньо-транспортної мережі громади, поліпшення її транспортно-експлуатаційного стану.</w:t>
      </w:r>
    </w:p>
    <w:p w:rsidR="00B77285" w:rsidRPr="00B77285" w:rsidRDefault="00B77285" w:rsidP="00B77285">
      <w:pPr>
        <w:pStyle w:val="rvps122"/>
        <w:tabs>
          <w:tab w:val="left" w:pos="709"/>
          <w:tab w:val="left" w:pos="851"/>
        </w:tabs>
        <w:spacing w:before="0" w:beforeAutospacing="0" w:after="0" w:afterAutospacing="0"/>
        <w:ind w:firstLine="709"/>
        <w:jc w:val="both"/>
        <w:rPr>
          <w:sz w:val="28"/>
          <w:szCs w:val="28"/>
          <w:lang w:val="uk-UA"/>
        </w:rPr>
      </w:pPr>
      <w:r w:rsidRPr="00B77285">
        <w:rPr>
          <w:sz w:val="28"/>
          <w:szCs w:val="28"/>
          <w:lang w:val="uk-UA"/>
        </w:rPr>
        <w:t>У 2022 та 2024 роках передбачається здійснити такі заходи:</w:t>
      </w:r>
    </w:p>
    <w:p w:rsidR="00B77285" w:rsidRPr="00B77285" w:rsidRDefault="00B77285" w:rsidP="00B77285">
      <w:pPr>
        <w:pStyle w:val="a9"/>
        <w:numPr>
          <w:ilvl w:val="0"/>
          <w:numId w:val="6"/>
        </w:numPr>
        <w:tabs>
          <w:tab w:val="left" w:pos="851"/>
        </w:tabs>
        <w:spacing w:before="0"/>
        <w:ind w:left="0" w:firstLine="709"/>
        <w:jc w:val="both"/>
        <w:rPr>
          <w:sz w:val="28"/>
          <w:szCs w:val="28"/>
          <w:shd w:val="clear" w:color="auto" w:fill="FFFFFF"/>
        </w:rPr>
      </w:pPr>
      <w:r w:rsidRPr="00B77285">
        <w:rPr>
          <w:sz w:val="28"/>
          <w:szCs w:val="28"/>
        </w:rPr>
        <w:t xml:space="preserve">проведення капітального та поточного ремонту доріг місцевого значення;  </w:t>
      </w:r>
    </w:p>
    <w:p w:rsidR="00B77285" w:rsidRPr="00B77285" w:rsidRDefault="00B77285" w:rsidP="00B77285">
      <w:pPr>
        <w:jc w:val="both"/>
        <w:rPr>
          <w:sz w:val="28"/>
          <w:szCs w:val="28"/>
          <w:lang w:val="uk-UA"/>
        </w:rPr>
      </w:pPr>
      <w:r w:rsidRPr="00B77285">
        <w:rPr>
          <w:sz w:val="28"/>
          <w:szCs w:val="28"/>
          <w:lang w:val="uk-UA"/>
        </w:rPr>
        <w:t>Основними результатами, яких планується досягти, є</w:t>
      </w:r>
      <w:r>
        <w:rPr>
          <w:sz w:val="28"/>
          <w:szCs w:val="28"/>
          <w:lang w:val="uk-UA"/>
        </w:rPr>
        <w:t xml:space="preserve"> </w:t>
      </w:r>
      <w:r w:rsidRPr="00B77285">
        <w:rPr>
          <w:sz w:val="28"/>
          <w:szCs w:val="28"/>
          <w:lang w:val="uk-UA"/>
        </w:rPr>
        <w:t>покращення стану автомобільних доріг.</w:t>
      </w:r>
    </w:p>
    <w:p w:rsidR="00B77285" w:rsidRPr="00B77285" w:rsidRDefault="00B77285" w:rsidP="00B77285">
      <w:pPr>
        <w:ind w:firstLine="709"/>
        <w:jc w:val="both"/>
        <w:rPr>
          <w:sz w:val="28"/>
          <w:szCs w:val="28"/>
          <w:lang w:val="uk-UA"/>
        </w:rPr>
      </w:pPr>
      <w:r w:rsidRPr="00B77285">
        <w:rPr>
          <w:sz w:val="28"/>
          <w:szCs w:val="28"/>
          <w:lang w:val="uk-UA"/>
        </w:rPr>
        <w:lastRenderedPageBreak/>
        <w:t>На 2022-2024 роки прогноз бюджету Великосеверинівської територіальної громади по розпису доходів з міжбюджетними трансфертами та видатками збалансовано. Показники доходів, видатків та фінансування наведені в додатках 1, 3 до цього Прогнозу.</w:t>
      </w:r>
    </w:p>
    <w:p w:rsidR="00B77285" w:rsidRPr="00B77285" w:rsidRDefault="00B77285" w:rsidP="00B77285">
      <w:pPr>
        <w:ind w:firstLine="709"/>
        <w:jc w:val="both"/>
        <w:rPr>
          <w:sz w:val="28"/>
          <w:szCs w:val="28"/>
          <w:lang w:val="uk-UA"/>
        </w:rPr>
      </w:pPr>
    </w:p>
    <w:p w:rsidR="00B77285" w:rsidRPr="00B77285" w:rsidRDefault="00B77285" w:rsidP="00B77285">
      <w:pPr>
        <w:jc w:val="center"/>
        <w:rPr>
          <w:b/>
          <w:bCs/>
          <w:sz w:val="28"/>
          <w:szCs w:val="28"/>
          <w:lang w:val="uk-UA"/>
        </w:rPr>
      </w:pPr>
      <w:r w:rsidRPr="00B77285">
        <w:rPr>
          <w:b/>
          <w:bCs/>
          <w:sz w:val="28"/>
          <w:szCs w:val="28"/>
          <w:lang w:val="uk-UA"/>
        </w:rPr>
        <w:t>VI.</w:t>
      </w:r>
      <w:r>
        <w:rPr>
          <w:b/>
          <w:bCs/>
          <w:sz w:val="28"/>
          <w:szCs w:val="28"/>
          <w:lang w:val="uk-UA"/>
        </w:rPr>
        <w:t xml:space="preserve"> </w:t>
      </w:r>
      <w:r w:rsidRPr="00B77285">
        <w:rPr>
          <w:b/>
          <w:bCs/>
          <w:sz w:val="28"/>
          <w:szCs w:val="28"/>
          <w:lang w:val="uk-UA"/>
        </w:rPr>
        <w:t>Показники видатків бюджету та надання кредитів з бюджету</w:t>
      </w:r>
    </w:p>
    <w:p w:rsidR="00B77285" w:rsidRPr="00B77285" w:rsidRDefault="00B77285" w:rsidP="00B77285">
      <w:pPr>
        <w:ind w:firstLine="709"/>
        <w:jc w:val="both"/>
        <w:rPr>
          <w:sz w:val="28"/>
          <w:szCs w:val="28"/>
          <w:lang w:val="uk-UA"/>
        </w:rPr>
      </w:pPr>
      <w:r w:rsidRPr="00B77285">
        <w:rPr>
          <w:sz w:val="28"/>
          <w:szCs w:val="28"/>
          <w:lang w:val="uk-UA"/>
        </w:rPr>
        <w:t xml:space="preserve">Основним завданням бюджетної політики на місцевому рівні на </w:t>
      </w:r>
      <w:r w:rsidRPr="00B77285">
        <w:rPr>
          <w:sz w:val="28"/>
          <w:szCs w:val="28"/>
          <w:lang w:val="uk-UA"/>
        </w:rPr>
        <w:br/>
        <w:t>2022-2024 роки залишатиметься  забезпечення стабільності, результативності, стійкості та збалансованості бюджету територіальної громади, ефективне використання бюджетних коштів в умовах обмеженості бюджетних ресурсів.</w:t>
      </w:r>
    </w:p>
    <w:p w:rsidR="00B77285" w:rsidRPr="00B77285" w:rsidRDefault="00B77285" w:rsidP="00B77285">
      <w:pPr>
        <w:ind w:firstLine="709"/>
        <w:jc w:val="both"/>
        <w:rPr>
          <w:sz w:val="28"/>
          <w:szCs w:val="28"/>
          <w:lang w:val="uk-UA"/>
        </w:rPr>
      </w:pPr>
      <w:r w:rsidRPr="00B77285">
        <w:rPr>
          <w:sz w:val="28"/>
          <w:szCs w:val="28"/>
          <w:lang w:val="uk-UA"/>
        </w:rPr>
        <w:t>Загальний обсяг видатків бюджету Великосеверинівської територіальної громади на 2022 рік прогнозується в сумі 67 279 255 грн., в тому числі за:</w:t>
      </w:r>
    </w:p>
    <w:p w:rsidR="00B77285" w:rsidRPr="00B77285" w:rsidRDefault="00B77285" w:rsidP="00B77285">
      <w:pPr>
        <w:jc w:val="both"/>
        <w:rPr>
          <w:sz w:val="28"/>
          <w:szCs w:val="28"/>
          <w:lang w:val="uk-UA"/>
        </w:rPr>
      </w:pPr>
      <w:r w:rsidRPr="00B77285">
        <w:rPr>
          <w:sz w:val="28"/>
          <w:szCs w:val="28"/>
          <w:lang w:val="uk-UA"/>
        </w:rPr>
        <w:t>загальним фондом –65 169 487 грн.</w:t>
      </w:r>
    </w:p>
    <w:p w:rsidR="00B77285" w:rsidRPr="00B77285" w:rsidRDefault="00B77285" w:rsidP="00B77285">
      <w:pPr>
        <w:jc w:val="both"/>
        <w:rPr>
          <w:sz w:val="28"/>
          <w:szCs w:val="28"/>
          <w:lang w:val="uk-UA"/>
        </w:rPr>
      </w:pPr>
      <w:r w:rsidRPr="00B77285">
        <w:rPr>
          <w:sz w:val="28"/>
          <w:szCs w:val="28"/>
          <w:lang w:val="uk-UA"/>
        </w:rPr>
        <w:t>спеціальним фондом –2 109 7680 грн.</w:t>
      </w:r>
    </w:p>
    <w:p w:rsidR="00B77285" w:rsidRPr="00B77285" w:rsidRDefault="00B77285" w:rsidP="00B77285">
      <w:pPr>
        <w:ind w:firstLine="709"/>
        <w:jc w:val="both"/>
        <w:rPr>
          <w:sz w:val="28"/>
          <w:szCs w:val="28"/>
          <w:lang w:val="uk-UA"/>
        </w:rPr>
      </w:pPr>
      <w:r w:rsidRPr="00B77285">
        <w:rPr>
          <w:sz w:val="28"/>
          <w:szCs w:val="28"/>
          <w:lang w:val="uk-UA"/>
        </w:rPr>
        <w:t>Загальний обсяг видатків бюджету Великосеверинівської територіальної громади на 2023 рік прогнозується в сумі 71 999 063 грн., в тому числі за:</w:t>
      </w:r>
    </w:p>
    <w:p w:rsidR="00B77285" w:rsidRPr="00B77285" w:rsidRDefault="00B77285" w:rsidP="00B77285">
      <w:pPr>
        <w:jc w:val="both"/>
        <w:rPr>
          <w:sz w:val="28"/>
          <w:szCs w:val="28"/>
          <w:lang w:val="uk-UA"/>
        </w:rPr>
      </w:pPr>
      <w:r w:rsidRPr="00B77285">
        <w:rPr>
          <w:sz w:val="28"/>
          <w:szCs w:val="28"/>
          <w:lang w:val="uk-UA"/>
        </w:rPr>
        <w:t>загальним фондом –69 209 995грн.</w:t>
      </w:r>
    </w:p>
    <w:p w:rsidR="00B77285" w:rsidRPr="00B77285" w:rsidRDefault="00B77285" w:rsidP="00B77285">
      <w:pPr>
        <w:jc w:val="both"/>
        <w:rPr>
          <w:sz w:val="28"/>
          <w:szCs w:val="28"/>
          <w:lang w:val="uk-UA"/>
        </w:rPr>
      </w:pPr>
      <w:r w:rsidRPr="00B77285">
        <w:rPr>
          <w:sz w:val="28"/>
          <w:szCs w:val="28"/>
          <w:lang w:val="uk-UA"/>
        </w:rPr>
        <w:t>спеціальним фондом – 2 789 068 грн.</w:t>
      </w:r>
    </w:p>
    <w:p w:rsidR="00B77285" w:rsidRPr="00B77285" w:rsidRDefault="00B77285" w:rsidP="00B77285">
      <w:pPr>
        <w:ind w:firstLine="709"/>
        <w:jc w:val="both"/>
        <w:rPr>
          <w:sz w:val="28"/>
          <w:szCs w:val="28"/>
          <w:lang w:val="uk-UA"/>
        </w:rPr>
      </w:pPr>
      <w:r w:rsidRPr="00B77285">
        <w:rPr>
          <w:sz w:val="28"/>
          <w:szCs w:val="28"/>
          <w:lang w:val="uk-UA"/>
        </w:rPr>
        <w:t>Загальний обсяг видатків бюджету Великосеверинівської територіальної громади на 2024 рік прогнозується в сумі 76 103 010 грн., в тому числі за:</w:t>
      </w:r>
    </w:p>
    <w:p w:rsidR="00B77285" w:rsidRPr="00B77285" w:rsidRDefault="00B77285" w:rsidP="00B77285">
      <w:pPr>
        <w:jc w:val="both"/>
        <w:rPr>
          <w:sz w:val="28"/>
          <w:szCs w:val="28"/>
          <w:lang w:val="uk-UA"/>
        </w:rPr>
      </w:pPr>
      <w:r w:rsidRPr="00B77285">
        <w:rPr>
          <w:sz w:val="28"/>
          <w:szCs w:val="28"/>
          <w:lang w:val="uk-UA"/>
        </w:rPr>
        <w:t>загальним фондом -  73 154 965 грн.</w:t>
      </w:r>
    </w:p>
    <w:p w:rsidR="00B77285" w:rsidRPr="00B77285" w:rsidRDefault="00B77285" w:rsidP="00B77285">
      <w:pPr>
        <w:jc w:val="both"/>
        <w:rPr>
          <w:sz w:val="28"/>
          <w:szCs w:val="28"/>
          <w:lang w:val="uk-UA"/>
        </w:rPr>
      </w:pPr>
      <w:r w:rsidRPr="00B77285">
        <w:rPr>
          <w:sz w:val="28"/>
          <w:szCs w:val="28"/>
          <w:lang w:val="uk-UA"/>
        </w:rPr>
        <w:t>спеціальним фондом – 2 948 045грн.</w:t>
      </w:r>
    </w:p>
    <w:p w:rsidR="00B77285" w:rsidRPr="00B77285" w:rsidRDefault="00B77285" w:rsidP="00B77285">
      <w:pPr>
        <w:ind w:firstLine="709"/>
        <w:jc w:val="both"/>
        <w:rPr>
          <w:sz w:val="28"/>
          <w:szCs w:val="28"/>
          <w:lang w:val="uk-UA"/>
        </w:rPr>
      </w:pPr>
      <w:r w:rsidRPr="00B77285">
        <w:rPr>
          <w:sz w:val="28"/>
          <w:szCs w:val="28"/>
          <w:lang w:val="uk-UA"/>
        </w:rPr>
        <w:t>Обсяг видатків бюджету на 2022-2024 роки для виплати заробітної плати з нарахуваннями працівникам бюджетної сфери, розраховувався виходячи з наступних соціальних стандартів - розмірів мінімальної заробітної плати і посадового окладу (тарифної ставки) першого тарифного розряду Єдиної тарифної сітки:</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мінімальна заробітна плата з 01.01.2022 - 6 500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мінімальна заробітна плата з 01.10.2022 - 6 700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мінімальна заробітна плата з 01.01.2023 - 7176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мінімальна заробітна плата з 01.01.2024 - 7665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посадовий оклад (тарифна ставка) першого тарифного розряду ЄТС з 01.01.2022-2 893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посадовий оклад (тарифна ставка) першого тарифного розряду ЄТС з 01.10.2022-2 982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посадовий оклад (тарифна ставка) першого тарифного розряду ЄТС з 01.01.2023 - 3193 гривень;</w:t>
      </w:r>
    </w:p>
    <w:p w:rsidR="00B77285" w:rsidRPr="00B77285" w:rsidRDefault="00B77285" w:rsidP="00B77285">
      <w:pPr>
        <w:jc w:val="both"/>
        <w:rPr>
          <w:sz w:val="28"/>
          <w:szCs w:val="28"/>
          <w:lang w:val="uk-UA"/>
        </w:rPr>
      </w:pPr>
      <w:r w:rsidRPr="00B77285">
        <w:rPr>
          <w:sz w:val="28"/>
          <w:szCs w:val="28"/>
          <w:lang w:val="uk-UA"/>
        </w:rPr>
        <w:t>-</w:t>
      </w:r>
      <w:r w:rsidRPr="00B77285">
        <w:rPr>
          <w:sz w:val="28"/>
          <w:szCs w:val="28"/>
          <w:lang w:val="uk-UA"/>
        </w:rPr>
        <w:tab/>
        <w:t>посадовий оклад (тарифна ставка) першого тарифного розряду ЄТС з 01.01.2024-3411 гривень;</w:t>
      </w:r>
    </w:p>
    <w:p w:rsidR="00B77285" w:rsidRPr="00B77285" w:rsidRDefault="00B77285" w:rsidP="00B77285">
      <w:pPr>
        <w:jc w:val="both"/>
        <w:rPr>
          <w:sz w:val="28"/>
          <w:szCs w:val="28"/>
          <w:lang w:val="uk-UA"/>
        </w:rPr>
      </w:pPr>
      <w:r w:rsidRPr="00B77285">
        <w:rPr>
          <w:sz w:val="28"/>
          <w:szCs w:val="28"/>
          <w:lang w:val="uk-UA"/>
        </w:rPr>
        <w:t>Для працівників органів місцевого самоврядування – на рівні 2021 року.</w:t>
      </w:r>
    </w:p>
    <w:p w:rsidR="00B77285" w:rsidRPr="00B77285" w:rsidRDefault="00B77285" w:rsidP="00B77285">
      <w:pPr>
        <w:ind w:firstLine="709"/>
        <w:jc w:val="both"/>
        <w:rPr>
          <w:sz w:val="28"/>
          <w:szCs w:val="28"/>
          <w:lang w:val="uk-UA"/>
        </w:rPr>
      </w:pPr>
      <w:r w:rsidRPr="00B77285">
        <w:rPr>
          <w:sz w:val="28"/>
          <w:szCs w:val="28"/>
          <w:lang w:val="uk-UA"/>
        </w:rPr>
        <w:lastRenderedPageBreak/>
        <w:t>При складанні прогнозу, враховано потребу в коштах на оплату праці працівників установ, які отримують кошти з бюджету, відповідно до умов оплати праці та розміру мінімальної заробітної плати, виходячи з наявних фінансових ресурсів державного та місцевого бюджетів, збережені надбавки, доплати, матеріальні допомоги та інші обов’язкові виплати працівникам окремих галузей бюджетної сфери, які відповідно до внесених змін у законодавство застосовуються у порядку та розмірах, встановлених Кабінетом Міністрів України.</w:t>
      </w:r>
    </w:p>
    <w:p w:rsidR="00B77285" w:rsidRPr="00B77285" w:rsidRDefault="00B77285" w:rsidP="00B77285">
      <w:pPr>
        <w:ind w:firstLine="709"/>
        <w:jc w:val="both"/>
        <w:rPr>
          <w:sz w:val="28"/>
          <w:szCs w:val="28"/>
          <w:lang w:val="uk-UA"/>
        </w:rPr>
      </w:pPr>
      <w:r w:rsidRPr="00B77285">
        <w:rPr>
          <w:sz w:val="28"/>
          <w:szCs w:val="28"/>
          <w:lang w:val="uk-UA"/>
        </w:rPr>
        <w:t>На проведення розрахунків за спожиті бюджетними установами енергоносії та комунальні послуги передбачено обсяг бюджетних асигнувань, який визначений згідно величини тарифів на 01.07.2021 із застосуванням індексів цін виробників з грудня 2021 року по грудень 2022 року – 107,8%, з грудня 2022 року по грудень 2023 року – 106,2%, з грудня 2023 року по грудень 2024 року – 105,7%.</w:t>
      </w:r>
    </w:p>
    <w:p w:rsidR="00B77285" w:rsidRPr="00B77285" w:rsidRDefault="00B77285" w:rsidP="00B77285">
      <w:pPr>
        <w:ind w:firstLine="709"/>
        <w:jc w:val="both"/>
        <w:rPr>
          <w:sz w:val="28"/>
          <w:szCs w:val="28"/>
          <w:lang w:val="uk-UA"/>
        </w:rPr>
      </w:pPr>
      <w:r w:rsidRPr="00B77285">
        <w:rPr>
          <w:sz w:val="28"/>
          <w:szCs w:val="28"/>
          <w:lang w:val="uk-UA"/>
        </w:rPr>
        <w:t>При обрахунку інших  видатків на утримання соціально-культурної сфери та органів місцевого самоврядування, до діючих цін на 01.07.2021 застосовані індекси споживчих цін з грудня 2021 року по грудень 2022 року – 106,2%, з грудня 2022 року по грудень 2023 року – 105,3 %, з грудня 2023 року по грудень 2024 року -105,0%.</w:t>
      </w:r>
    </w:p>
    <w:p w:rsidR="00B77285" w:rsidRPr="00B77285" w:rsidRDefault="00B77285" w:rsidP="00B77285">
      <w:pPr>
        <w:ind w:firstLine="709"/>
        <w:jc w:val="both"/>
        <w:rPr>
          <w:sz w:val="28"/>
          <w:szCs w:val="28"/>
          <w:lang w:val="uk-UA"/>
        </w:rPr>
      </w:pPr>
      <w:r w:rsidRPr="00B77285">
        <w:rPr>
          <w:sz w:val="28"/>
          <w:szCs w:val="28"/>
          <w:lang w:val="uk-UA"/>
        </w:rPr>
        <w:t>Прогноз бюджету на середньостроковий період передбачає фінансування головних розпорядників бюджетних коштів, що визначені відповідно до сфер діяльності.</w:t>
      </w:r>
    </w:p>
    <w:p w:rsidR="00B77285" w:rsidRPr="00B77285" w:rsidRDefault="00B77285" w:rsidP="00B77285">
      <w:pPr>
        <w:ind w:firstLine="709"/>
        <w:jc w:val="both"/>
        <w:rPr>
          <w:sz w:val="28"/>
          <w:szCs w:val="28"/>
          <w:lang w:val="uk-UA"/>
        </w:rPr>
      </w:pPr>
      <w:r w:rsidRPr="00B77285">
        <w:rPr>
          <w:sz w:val="28"/>
          <w:szCs w:val="28"/>
          <w:lang w:val="uk-UA"/>
        </w:rPr>
        <w:t>Граничні показники видатків Великосеверинівської  територіальної громади в розрізі головних розпорядників бюджетних коштів наведено в додатку 6 до цього прогнозу.</w:t>
      </w:r>
    </w:p>
    <w:p w:rsidR="00B77285" w:rsidRPr="00B77285" w:rsidRDefault="00B77285" w:rsidP="00B77285">
      <w:pPr>
        <w:ind w:firstLine="709"/>
        <w:jc w:val="both"/>
        <w:rPr>
          <w:sz w:val="28"/>
          <w:szCs w:val="28"/>
          <w:lang w:val="uk-UA"/>
        </w:rPr>
      </w:pPr>
    </w:p>
    <w:p w:rsidR="00B77285" w:rsidRPr="00B77285" w:rsidRDefault="00B77285" w:rsidP="00B77285">
      <w:pPr>
        <w:jc w:val="center"/>
        <w:rPr>
          <w:b/>
          <w:bCs/>
          <w:sz w:val="28"/>
          <w:szCs w:val="28"/>
          <w:lang w:val="uk-UA"/>
        </w:rPr>
      </w:pPr>
      <w:r w:rsidRPr="00B77285">
        <w:rPr>
          <w:b/>
          <w:bCs/>
          <w:sz w:val="28"/>
          <w:szCs w:val="28"/>
          <w:lang w:val="uk-UA"/>
        </w:rPr>
        <w:t>7. Бюджет розвитку</w:t>
      </w:r>
    </w:p>
    <w:p w:rsidR="00B77285" w:rsidRPr="00B77285" w:rsidRDefault="00B77285" w:rsidP="00B77285">
      <w:pPr>
        <w:ind w:firstLine="709"/>
        <w:jc w:val="both"/>
        <w:rPr>
          <w:sz w:val="28"/>
          <w:szCs w:val="28"/>
          <w:lang w:val="uk-UA"/>
        </w:rPr>
      </w:pPr>
      <w:r w:rsidRPr="00B77285">
        <w:rPr>
          <w:sz w:val="28"/>
          <w:szCs w:val="28"/>
          <w:lang w:val="uk-UA"/>
        </w:rPr>
        <w:t>При наявності вільного залишку станом на початок року 01.01.2022р., 01.01.2023р., 01.01.2024р. та перевиконання власних доходів загального фонду, розпис видатків бюджету буде уточнюватись відповідно до потреби та бюджетного законодавства.</w:t>
      </w:r>
    </w:p>
    <w:p w:rsidR="00B77285" w:rsidRPr="00B77285" w:rsidRDefault="00B77285" w:rsidP="00B77285">
      <w:pPr>
        <w:jc w:val="both"/>
        <w:rPr>
          <w:sz w:val="28"/>
          <w:szCs w:val="28"/>
          <w:lang w:val="uk-UA"/>
        </w:rPr>
      </w:pPr>
    </w:p>
    <w:p w:rsidR="00B77285" w:rsidRPr="00B77285" w:rsidRDefault="00B77285" w:rsidP="00B77285">
      <w:pPr>
        <w:jc w:val="center"/>
        <w:rPr>
          <w:b/>
          <w:bCs/>
          <w:sz w:val="28"/>
          <w:szCs w:val="28"/>
          <w:lang w:val="uk-UA"/>
        </w:rPr>
      </w:pPr>
      <w:r w:rsidRPr="00B77285">
        <w:rPr>
          <w:b/>
          <w:bCs/>
          <w:sz w:val="28"/>
          <w:szCs w:val="28"/>
          <w:lang w:val="uk-UA"/>
        </w:rPr>
        <w:t>8. Взаємовідносини бюджету з іншими бюджетами</w:t>
      </w:r>
    </w:p>
    <w:p w:rsidR="00B77285" w:rsidRPr="00B77285" w:rsidRDefault="00B77285" w:rsidP="00B77285">
      <w:pPr>
        <w:ind w:firstLine="709"/>
        <w:jc w:val="both"/>
        <w:rPr>
          <w:sz w:val="28"/>
          <w:szCs w:val="28"/>
          <w:lang w:val="uk-UA"/>
        </w:rPr>
      </w:pPr>
      <w:r w:rsidRPr="00B77285">
        <w:rPr>
          <w:sz w:val="28"/>
          <w:szCs w:val="28"/>
          <w:lang w:val="uk-UA"/>
        </w:rPr>
        <w:t>Показники міжбюджетних трансфертів з інших бюджетів відображені в додатку 11 до цього Прогнозу.</w:t>
      </w:r>
    </w:p>
    <w:p w:rsidR="00B77285" w:rsidRPr="00B77285" w:rsidRDefault="00B77285" w:rsidP="00B77285">
      <w:pPr>
        <w:jc w:val="center"/>
        <w:rPr>
          <w:b/>
          <w:bCs/>
          <w:sz w:val="28"/>
          <w:szCs w:val="28"/>
          <w:lang w:val="uk-UA"/>
        </w:rPr>
      </w:pPr>
    </w:p>
    <w:p w:rsidR="00B77285" w:rsidRPr="00B77285" w:rsidRDefault="00B77285" w:rsidP="00B77285">
      <w:pPr>
        <w:jc w:val="center"/>
        <w:rPr>
          <w:b/>
          <w:bCs/>
          <w:sz w:val="28"/>
          <w:szCs w:val="28"/>
          <w:lang w:val="uk-UA"/>
        </w:rPr>
      </w:pPr>
      <w:r w:rsidRPr="00B77285">
        <w:rPr>
          <w:b/>
          <w:bCs/>
          <w:sz w:val="28"/>
          <w:szCs w:val="28"/>
          <w:lang w:val="uk-UA"/>
        </w:rPr>
        <w:t>9. Інші положення та показники прогнозу бюджету</w:t>
      </w:r>
    </w:p>
    <w:p w:rsidR="00B77285" w:rsidRPr="00B77285" w:rsidRDefault="00B77285" w:rsidP="00B77285">
      <w:pPr>
        <w:ind w:firstLine="709"/>
        <w:jc w:val="both"/>
        <w:rPr>
          <w:sz w:val="28"/>
          <w:szCs w:val="28"/>
          <w:lang w:val="uk-UA"/>
        </w:rPr>
      </w:pPr>
      <w:r w:rsidRPr="00B77285">
        <w:rPr>
          <w:sz w:val="28"/>
          <w:szCs w:val="28"/>
          <w:lang w:val="uk-UA"/>
        </w:rPr>
        <w:t>Відповідно до наказу Міністерства Фінансів України від 02.06.2021 року №314 «Про затвердження Типової форми прогнозу місцевого бюджету та Інструкції щодо його складання», до Прогнозу місцевого бюджету передбачені 12 додатків:</w:t>
      </w:r>
    </w:p>
    <w:p w:rsidR="00B77285" w:rsidRPr="00B77285" w:rsidRDefault="00B77285" w:rsidP="00B77285">
      <w:pPr>
        <w:ind w:firstLine="709"/>
        <w:jc w:val="both"/>
        <w:rPr>
          <w:sz w:val="28"/>
          <w:szCs w:val="28"/>
          <w:lang w:val="uk-UA"/>
        </w:rPr>
      </w:pPr>
      <w:r w:rsidRPr="00B77285">
        <w:rPr>
          <w:sz w:val="28"/>
          <w:szCs w:val="28"/>
          <w:lang w:val="uk-UA"/>
        </w:rPr>
        <w:t>Додаток 1 «Загальні показники бюджету»</w:t>
      </w:r>
    </w:p>
    <w:p w:rsidR="00B77285" w:rsidRPr="00B77285" w:rsidRDefault="00B77285" w:rsidP="00B77285">
      <w:pPr>
        <w:ind w:firstLine="709"/>
        <w:jc w:val="both"/>
        <w:rPr>
          <w:sz w:val="28"/>
          <w:szCs w:val="28"/>
          <w:lang w:val="uk-UA"/>
        </w:rPr>
      </w:pPr>
      <w:r w:rsidRPr="00B77285">
        <w:rPr>
          <w:sz w:val="28"/>
          <w:szCs w:val="28"/>
          <w:lang w:val="uk-UA"/>
        </w:rPr>
        <w:t>Додаток 2 «Показники доходів бюджету»</w:t>
      </w:r>
    </w:p>
    <w:p w:rsidR="00B77285" w:rsidRPr="00B77285" w:rsidRDefault="00B77285" w:rsidP="00B77285">
      <w:pPr>
        <w:ind w:firstLine="709"/>
        <w:jc w:val="both"/>
        <w:rPr>
          <w:sz w:val="28"/>
          <w:szCs w:val="28"/>
          <w:lang w:val="uk-UA"/>
        </w:rPr>
      </w:pPr>
      <w:r w:rsidRPr="00B77285">
        <w:rPr>
          <w:sz w:val="28"/>
          <w:szCs w:val="28"/>
          <w:lang w:val="uk-UA"/>
        </w:rPr>
        <w:t>Додаток 3 «Показники фінансування бюджету»</w:t>
      </w:r>
    </w:p>
    <w:p w:rsidR="00B77285" w:rsidRPr="00B77285" w:rsidRDefault="00B77285" w:rsidP="00B77285">
      <w:pPr>
        <w:ind w:firstLine="709"/>
        <w:jc w:val="both"/>
        <w:rPr>
          <w:sz w:val="28"/>
          <w:szCs w:val="28"/>
          <w:lang w:val="uk-UA"/>
        </w:rPr>
      </w:pPr>
      <w:r w:rsidRPr="00B77285">
        <w:rPr>
          <w:sz w:val="28"/>
          <w:szCs w:val="28"/>
          <w:lang w:val="uk-UA"/>
        </w:rPr>
        <w:t>Додаток 4 «Показники місцевого боргу»</w:t>
      </w:r>
    </w:p>
    <w:p w:rsidR="00B77285" w:rsidRPr="00B77285" w:rsidRDefault="00B77285" w:rsidP="00B77285">
      <w:pPr>
        <w:ind w:firstLine="709"/>
        <w:jc w:val="both"/>
        <w:rPr>
          <w:sz w:val="28"/>
          <w:szCs w:val="28"/>
          <w:lang w:val="uk-UA"/>
        </w:rPr>
      </w:pPr>
      <w:r w:rsidRPr="00B77285">
        <w:rPr>
          <w:sz w:val="28"/>
          <w:szCs w:val="28"/>
          <w:lang w:val="uk-UA"/>
        </w:rPr>
        <w:lastRenderedPageBreak/>
        <w:t xml:space="preserve">Додаток 5 «Показники гарантованого територіальною громадою міста боргу і надання місцевих гарантій» </w:t>
      </w:r>
    </w:p>
    <w:p w:rsidR="00B77285" w:rsidRPr="00B77285" w:rsidRDefault="00B77285" w:rsidP="00B77285">
      <w:pPr>
        <w:ind w:firstLine="709"/>
        <w:jc w:val="both"/>
        <w:rPr>
          <w:sz w:val="28"/>
          <w:szCs w:val="28"/>
          <w:lang w:val="uk-UA"/>
        </w:rPr>
      </w:pPr>
      <w:r w:rsidRPr="00B77285">
        <w:rPr>
          <w:sz w:val="28"/>
          <w:szCs w:val="28"/>
          <w:lang w:val="uk-UA"/>
        </w:rPr>
        <w:t>Додаток 6 «Граничні показники видатків бюджету та надання кредитів з бюджету головним розпорядникам коштів»</w:t>
      </w:r>
    </w:p>
    <w:p w:rsidR="00B77285" w:rsidRPr="00B77285" w:rsidRDefault="00B77285" w:rsidP="00B77285">
      <w:pPr>
        <w:ind w:firstLine="709"/>
        <w:jc w:val="both"/>
        <w:rPr>
          <w:sz w:val="28"/>
          <w:szCs w:val="28"/>
          <w:lang w:val="uk-UA"/>
        </w:rPr>
      </w:pPr>
      <w:r w:rsidRPr="00B77285">
        <w:rPr>
          <w:sz w:val="28"/>
          <w:szCs w:val="28"/>
          <w:lang w:val="uk-UA"/>
        </w:rPr>
        <w:t>Додаток 7 «Граничні показники видатків бюджету за Типовою програмною класифікацією видатків та кредитування місцевого бюджету»</w:t>
      </w:r>
    </w:p>
    <w:p w:rsidR="00B77285" w:rsidRPr="00B77285" w:rsidRDefault="00B77285" w:rsidP="00B77285">
      <w:pPr>
        <w:ind w:firstLine="709"/>
        <w:jc w:val="both"/>
        <w:rPr>
          <w:sz w:val="28"/>
          <w:szCs w:val="28"/>
          <w:lang w:val="uk-UA"/>
        </w:rPr>
      </w:pPr>
      <w:r w:rsidRPr="00B77285">
        <w:rPr>
          <w:sz w:val="28"/>
          <w:szCs w:val="28"/>
          <w:lang w:val="uk-UA"/>
        </w:rPr>
        <w:t>«Граничні показники видатків бюджету за Типовою програмною класифікацією видатків та кредитування місцевого бюджету»</w:t>
      </w:r>
    </w:p>
    <w:p w:rsidR="00B77285" w:rsidRPr="00B77285" w:rsidRDefault="00B77285" w:rsidP="00B77285">
      <w:pPr>
        <w:ind w:firstLine="709"/>
        <w:jc w:val="both"/>
        <w:rPr>
          <w:sz w:val="28"/>
          <w:szCs w:val="28"/>
          <w:lang w:val="uk-UA"/>
        </w:rPr>
      </w:pPr>
      <w:r w:rsidRPr="00B77285">
        <w:rPr>
          <w:sz w:val="28"/>
          <w:szCs w:val="28"/>
          <w:lang w:val="uk-UA"/>
        </w:rPr>
        <w:t>Додаток 9 «Показники бюджету розвитку»</w:t>
      </w:r>
    </w:p>
    <w:p w:rsidR="00B77285" w:rsidRPr="00B77285" w:rsidRDefault="00B77285" w:rsidP="00B77285">
      <w:pPr>
        <w:ind w:firstLine="709"/>
        <w:jc w:val="both"/>
        <w:rPr>
          <w:sz w:val="28"/>
          <w:szCs w:val="28"/>
          <w:lang w:val="uk-UA"/>
        </w:rPr>
      </w:pPr>
      <w:r w:rsidRPr="00B77285">
        <w:rPr>
          <w:sz w:val="28"/>
          <w:szCs w:val="28"/>
          <w:lang w:val="uk-UA"/>
        </w:rPr>
        <w:t>Додаток 10 «Обсяги капітальних вкладень бюджету у розрізі інвестиційних проектів»</w:t>
      </w:r>
    </w:p>
    <w:p w:rsidR="00B77285" w:rsidRPr="00B77285" w:rsidRDefault="00B77285" w:rsidP="00B77285">
      <w:pPr>
        <w:ind w:firstLine="709"/>
        <w:jc w:val="both"/>
        <w:rPr>
          <w:sz w:val="28"/>
          <w:szCs w:val="28"/>
          <w:lang w:val="uk-UA"/>
        </w:rPr>
      </w:pPr>
      <w:r w:rsidRPr="00B77285">
        <w:rPr>
          <w:sz w:val="28"/>
          <w:szCs w:val="28"/>
          <w:lang w:val="uk-UA"/>
        </w:rPr>
        <w:t>Додаток 11 «Показники міжбюджетних трансфертів з інших бюджетів»</w:t>
      </w:r>
    </w:p>
    <w:p w:rsidR="00B77285" w:rsidRPr="00B77285" w:rsidRDefault="00B77285" w:rsidP="00B77285">
      <w:pPr>
        <w:ind w:firstLine="709"/>
        <w:jc w:val="both"/>
        <w:rPr>
          <w:sz w:val="28"/>
          <w:szCs w:val="28"/>
          <w:lang w:val="uk-UA"/>
        </w:rPr>
      </w:pPr>
      <w:r w:rsidRPr="00B77285">
        <w:rPr>
          <w:sz w:val="28"/>
          <w:szCs w:val="28"/>
          <w:lang w:val="uk-UA"/>
        </w:rPr>
        <w:t>Додаток 12 «Показники міжбюджетних трансфертів іншим бюджетам»</w:t>
      </w:r>
    </w:p>
    <w:p w:rsidR="00B77285" w:rsidRPr="00B77285" w:rsidRDefault="00B77285" w:rsidP="00B77285">
      <w:pPr>
        <w:pStyle w:val="rvps122"/>
        <w:tabs>
          <w:tab w:val="left" w:pos="709"/>
          <w:tab w:val="left" w:pos="851"/>
        </w:tabs>
        <w:spacing w:before="0" w:beforeAutospacing="0" w:after="0" w:afterAutospacing="0"/>
        <w:jc w:val="both"/>
        <w:rPr>
          <w:sz w:val="28"/>
          <w:szCs w:val="28"/>
          <w:lang w:val="uk-UA"/>
        </w:rPr>
      </w:pPr>
    </w:p>
    <w:p w:rsidR="00B77285" w:rsidRPr="00B77285" w:rsidRDefault="00B77285" w:rsidP="00B77285">
      <w:pPr>
        <w:pStyle w:val="rvps122"/>
        <w:tabs>
          <w:tab w:val="left" w:pos="709"/>
          <w:tab w:val="left" w:pos="851"/>
        </w:tabs>
        <w:spacing w:before="0" w:beforeAutospacing="0" w:after="0" w:afterAutospacing="0"/>
        <w:jc w:val="both"/>
        <w:rPr>
          <w:sz w:val="28"/>
          <w:szCs w:val="28"/>
          <w:lang w:val="uk-UA"/>
        </w:rPr>
      </w:pPr>
    </w:p>
    <w:p w:rsidR="00B77285" w:rsidRPr="00B77285" w:rsidRDefault="00B77285" w:rsidP="00B77285">
      <w:pPr>
        <w:pStyle w:val="rvps122"/>
        <w:tabs>
          <w:tab w:val="left" w:pos="709"/>
          <w:tab w:val="left" w:pos="851"/>
        </w:tabs>
        <w:spacing w:before="0" w:beforeAutospacing="0" w:after="0" w:afterAutospacing="0"/>
        <w:jc w:val="both"/>
        <w:rPr>
          <w:sz w:val="28"/>
          <w:szCs w:val="28"/>
          <w:lang w:val="uk-UA"/>
        </w:rPr>
      </w:pPr>
    </w:p>
    <w:p w:rsidR="00DE160B" w:rsidRPr="00B77285" w:rsidRDefault="00B77285" w:rsidP="00B77285">
      <w:pPr>
        <w:rPr>
          <w:lang w:val="uk-UA"/>
        </w:rPr>
      </w:pPr>
      <w:r w:rsidRPr="00B77285">
        <w:rPr>
          <w:b/>
          <w:sz w:val="28"/>
          <w:szCs w:val="28"/>
          <w:lang w:val="uk-UA"/>
        </w:rPr>
        <w:t>Начальник</w:t>
      </w:r>
      <w:bookmarkStart w:id="0" w:name="_GoBack"/>
      <w:bookmarkEnd w:id="0"/>
      <w:r w:rsidRPr="00B77285">
        <w:rPr>
          <w:b/>
          <w:sz w:val="28"/>
          <w:szCs w:val="28"/>
          <w:lang w:val="uk-UA"/>
        </w:rPr>
        <w:t xml:space="preserve"> фінансового відділу </w:t>
      </w:r>
      <w:r w:rsidRPr="00B77285">
        <w:rPr>
          <w:b/>
          <w:sz w:val="28"/>
          <w:szCs w:val="28"/>
          <w:lang w:val="uk-UA"/>
        </w:rPr>
        <w:tab/>
      </w:r>
      <w:r w:rsidRPr="00B77285">
        <w:rPr>
          <w:b/>
          <w:sz w:val="28"/>
          <w:szCs w:val="28"/>
          <w:lang w:val="uk-UA"/>
        </w:rPr>
        <w:tab/>
      </w:r>
      <w:r w:rsidRPr="00B77285">
        <w:rPr>
          <w:b/>
          <w:sz w:val="28"/>
          <w:szCs w:val="28"/>
          <w:lang w:val="uk-UA"/>
        </w:rPr>
        <w:tab/>
      </w:r>
      <w:r w:rsidRPr="00B77285">
        <w:rPr>
          <w:b/>
          <w:sz w:val="28"/>
          <w:szCs w:val="28"/>
          <w:lang w:val="uk-UA"/>
        </w:rPr>
        <w:tab/>
      </w:r>
      <w:r w:rsidRPr="00B77285">
        <w:rPr>
          <w:b/>
          <w:sz w:val="28"/>
          <w:szCs w:val="28"/>
          <w:lang w:val="uk-UA"/>
        </w:rPr>
        <w:tab/>
        <w:t>Інна КОРОБКО</w:t>
      </w:r>
    </w:p>
    <w:sectPr w:rsidR="00DE160B" w:rsidRPr="00B77285" w:rsidSect="00DE1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7189"/>
    <w:multiLevelType w:val="hybridMultilevel"/>
    <w:tmpl w:val="EFB2392C"/>
    <w:lvl w:ilvl="0" w:tplc="4C8AB99C">
      <w:start w:val="5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626AD"/>
    <w:multiLevelType w:val="hybridMultilevel"/>
    <w:tmpl w:val="C73AB9E4"/>
    <w:lvl w:ilvl="0" w:tplc="4C8AB99C">
      <w:start w:val="5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7A1BFB"/>
    <w:multiLevelType w:val="hybridMultilevel"/>
    <w:tmpl w:val="2CFAE662"/>
    <w:lvl w:ilvl="0" w:tplc="84FAE6B4">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1BB1C98"/>
    <w:multiLevelType w:val="hybridMultilevel"/>
    <w:tmpl w:val="6D746834"/>
    <w:lvl w:ilvl="0" w:tplc="4C8AB99C">
      <w:start w:val="5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1A41E3"/>
    <w:multiLevelType w:val="hybridMultilevel"/>
    <w:tmpl w:val="C0FE60A6"/>
    <w:lvl w:ilvl="0" w:tplc="07F495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B085115"/>
    <w:multiLevelType w:val="hybridMultilevel"/>
    <w:tmpl w:val="D56A02E0"/>
    <w:lvl w:ilvl="0" w:tplc="4C8AB99C">
      <w:start w:val="5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AA7314"/>
    <w:multiLevelType w:val="hybridMultilevel"/>
    <w:tmpl w:val="129C6BA8"/>
    <w:lvl w:ilvl="0" w:tplc="4C8AB99C">
      <w:start w:val="5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6C14CBF"/>
    <w:multiLevelType w:val="hybridMultilevel"/>
    <w:tmpl w:val="19F4F656"/>
    <w:lvl w:ilvl="0" w:tplc="4C8AB99C">
      <w:start w:val="5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8A83246"/>
    <w:multiLevelType w:val="hybridMultilevel"/>
    <w:tmpl w:val="BF56D588"/>
    <w:lvl w:ilvl="0" w:tplc="4C8AB99C">
      <w:start w:val="57"/>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9BA168D"/>
    <w:multiLevelType w:val="hybridMultilevel"/>
    <w:tmpl w:val="AC5CBBD4"/>
    <w:lvl w:ilvl="0" w:tplc="4C8AB99C">
      <w:start w:val="57"/>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765805"/>
    <w:multiLevelType w:val="hybridMultilevel"/>
    <w:tmpl w:val="06BCDE6C"/>
    <w:lvl w:ilvl="0" w:tplc="4C8AB99C">
      <w:start w:val="5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6"/>
  </w:num>
  <w:num w:numId="6">
    <w:abstractNumId w:val="10"/>
  </w:num>
  <w:num w:numId="7">
    <w:abstractNumId w:val="9"/>
  </w:num>
  <w:num w:numId="8">
    <w:abstractNumId w:val="3"/>
  </w:num>
  <w:num w:numId="9">
    <w:abstractNumId w:val="2"/>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285"/>
    <w:rsid w:val="00B77285"/>
    <w:rsid w:val="00D73973"/>
    <w:rsid w:val="00DE1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85"/>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7285"/>
    <w:pPr>
      <w:ind w:firstLine="0"/>
      <w:jc w:val="left"/>
    </w:pPr>
    <w:rPr>
      <w:rFonts w:ascii="Times New Roman" w:eastAsia="Times New Roman" w:hAnsi="Times New Roman" w:cs="Times New Roman"/>
      <w:sz w:val="24"/>
      <w:szCs w:val="24"/>
      <w:lang w:val="uk-UA"/>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5"/>
    <w:uiPriority w:val="99"/>
    <w:unhideWhenUsed/>
    <w:rsid w:val="00B77285"/>
    <w:pPr>
      <w:spacing w:before="100" w:beforeAutospacing="1" w:after="100" w:afterAutospacing="1"/>
    </w:pPr>
    <w:rPr>
      <w:lang w:val="uk-UA" w:eastAsia="uk-UA"/>
    </w:rPr>
  </w:style>
  <w:style w:type="table" w:styleId="a6">
    <w:name w:val="Table Grid"/>
    <w:basedOn w:val="a1"/>
    <w:uiPriority w:val="59"/>
    <w:rsid w:val="00B77285"/>
    <w:pPr>
      <w:ind w:firstLine="0"/>
      <w:jc w:val="left"/>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B77285"/>
    <w:pPr>
      <w:suppressLineNumbers/>
    </w:pPr>
    <w:rPr>
      <w:sz w:val="28"/>
      <w:lang w:val="uk-UA" w:eastAsia="ar-SA"/>
    </w:rPr>
  </w:style>
  <w:style w:type="paragraph" w:styleId="a8">
    <w:name w:val="List Paragraph"/>
    <w:basedOn w:val="a"/>
    <w:uiPriority w:val="34"/>
    <w:qFormat/>
    <w:rsid w:val="00B77285"/>
    <w:pPr>
      <w:ind w:left="720"/>
      <w:contextualSpacing/>
      <w:jc w:val="both"/>
    </w:pPr>
    <w:rPr>
      <w:sz w:val="28"/>
      <w:szCs w:val="20"/>
      <w:lang w:val="uk-UA"/>
    </w:rPr>
  </w:style>
  <w:style w:type="paragraph" w:customStyle="1" w:styleId="a9">
    <w:name w:val="Нормальний текст"/>
    <w:basedOn w:val="a"/>
    <w:rsid w:val="00B77285"/>
    <w:pPr>
      <w:spacing w:before="120"/>
      <w:ind w:firstLine="567"/>
    </w:pPr>
    <w:rPr>
      <w:lang w:val="uk-UA"/>
    </w:rPr>
  </w:style>
  <w:style w:type="paragraph" w:styleId="aa">
    <w:name w:val="Body Text"/>
    <w:basedOn w:val="a"/>
    <w:link w:val="ab"/>
    <w:uiPriority w:val="99"/>
    <w:rsid w:val="00B77285"/>
    <w:pPr>
      <w:tabs>
        <w:tab w:val="left" w:pos="8640"/>
      </w:tabs>
      <w:ind w:right="900"/>
      <w:jc w:val="both"/>
    </w:pPr>
    <w:rPr>
      <w:lang w:val="uk-UA"/>
    </w:rPr>
  </w:style>
  <w:style w:type="character" w:customStyle="1" w:styleId="ab">
    <w:name w:val="Основной текст Знак"/>
    <w:basedOn w:val="a0"/>
    <w:link w:val="aa"/>
    <w:uiPriority w:val="99"/>
    <w:rsid w:val="00B77285"/>
    <w:rPr>
      <w:rFonts w:ascii="Times New Roman" w:eastAsia="Times New Roman" w:hAnsi="Times New Roman" w:cs="Times New Roman"/>
      <w:sz w:val="24"/>
      <w:szCs w:val="24"/>
      <w:lang w:val="uk-UA" w:eastAsia="ru-RU"/>
    </w:rPr>
  </w:style>
  <w:style w:type="paragraph" w:customStyle="1" w:styleId="rvps122">
    <w:name w:val="rvps122"/>
    <w:basedOn w:val="a"/>
    <w:rsid w:val="00B77285"/>
    <w:pPr>
      <w:spacing w:before="100" w:beforeAutospacing="1" w:after="100" w:afterAutospacing="1"/>
    </w:pPr>
  </w:style>
  <w:style w:type="character" w:customStyle="1" w:styleId="rvts33">
    <w:name w:val="rvts33"/>
    <w:basedOn w:val="a0"/>
    <w:rsid w:val="00B77285"/>
  </w:style>
  <w:style w:type="paragraph" w:customStyle="1" w:styleId="docdata">
    <w:name w:val="docdata"/>
    <w:aliases w:val="docy,v5,2250,baiaagaaboqcaaadnwqaaawtbaaaaaaaaaaaaaaaaaaaaaaaaaaaaaaaaaaaaaaaaaaaaaaaaaaaaaaaaaaaaaaaaaaaaaaaaaaaaaaaaaaaaaaaaaaaaaaaaaaaaaaaaaaaaaaaaaaaaaaaaaaaaaaaaaaaaaaaaaaaaaaaaaaaaaaaaaaaaaaaaaaaaaaaaaaaaaaaaaaaaaaaaaaaaaaaaaaaaaaaaaaaaaaa"/>
    <w:basedOn w:val="a"/>
    <w:rsid w:val="00B77285"/>
    <w:pPr>
      <w:spacing w:before="100" w:beforeAutospacing="1" w:after="100" w:afterAutospacing="1"/>
    </w:pPr>
  </w:style>
  <w:style w:type="character" w:customStyle="1" w:styleId="a5">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locked/>
    <w:rsid w:val="00B77285"/>
    <w:rPr>
      <w:rFonts w:ascii="Times New Roman" w:eastAsia="Times New Roman" w:hAnsi="Times New Roman" w:cs="Times New Roman"/>
      <w:sz w:val="24"/>
      <w:szCs w:val="24"/>
      <w:lang w:val="uk-UA" w:eastAsia="uk-UA"/>
    </w:rPr>
  </w:style>
  <w:style w:type="paragraph" w:customStyle="1" w:styleId="Default">
    <w:name w:val="Default"/>
    <w:rsid w:val="00B77285"/>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s1">
    <w:name w:val="s1"/>
    <w:uiPriority w:val="99"/>
    <w:rsid w:val="00B772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5431</Words>
  <Characters>30962</Characters>
  <Application>Microsoft Office Word</Application>
  <DocSecurity>0</DocSecurity>
  <Lines>258</Lines>
  <Paragraphs>72</Paragraphs>
  <ScaleCrop>false</ScaleCrop>
  <Company>SPecialiST RePack</Company>
  <LinksUpToDate>false</LinksUpToDate>
  <CharactersWithSpaces>36321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2021-08-31T08:56:00Z</dcterms:created>
  <dcterms:modified xsi:type="dcterms:W3CDTF">2021-08-31T09:02:00Z</dcterms:modified>
</cp:coreProperties>
</file>