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85" w:rsidRPr="004D1D1E" w:rsidRDefault="00E06E85" w:rsidP="00E06E85">
      <w:pPr>
        <w:pStyle w:val="st7"/>
        <w:ind w:left="6480"/>
        <w:rPr>
          <w:rStyle w:val="st161"/>
          <w:lang w:val="uk-UA"/>
        </w:rPr>
      </w:pPr>
      <w:r w:rsidRPr="004D1D1E">
        <w:rPr>
          <w:rStyle w:val="st42"/>
          <w:lang w:val="uk-UA"/>
        </w:rPr>
        <w:t>Додаток 1</w:t>
      </w:r>
      <w:r w:rsidRPr="004D1D1E">
        <w:rPr>
          <w:rStyle w:val="st42"/>
          <w:lang w:val="uk-UA"/>
        </w:rPr>
        <w:br/>
        <w:t>до Порядку</w:t>
      </w:r>
    </w:p>
    <w:p w:rsidR="00E06E85" w:rsidRPr="004D1D1E" w:rsidRDefault="00E06E85" w:rsidP="00E06E85">
      <w:pPr>
        <w:pStyle w:val="st7"/>
        <w:rPr>
          <w:rStyle w:val="st161"/>
          <w:lang w:val="uk-UA"/>
        </w:rPr>
      </w:pPr>
      <w:r w:rsidRPr="004D1D1E">
        <w:rPr>
          <w:rStyle w:val="st161"/>
          <w:lang w:val="uk-UA"/>
        </w:rPr>
        <w:t xml:space="preserve">ІНФОРМАЦІЯ </w:t>
      </w:r>
      <w:r w:rsidRPr="004D1D1E">
        <w:rPr>
          <w:rStyle w:val="st161"/>
          <w:lang w:val="uk-UA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4D1D1E">
        <w:rPr>
          <w:rStyle w:val="st161"/>
          <w:lang w:val="uk-UA"/>
        </w:rPr>
        <w:t>безбар’єрності</w:t>
      </w:r>
      <w:proofErr w:type="spellEnd"/>
      <w:r w:rsidRPr="004D1D1E">
        <w:rPr>
          <w:rStyle w:val="st161"/>
          <w:lang w:val="uk-UA"/>
        </w:rPr>
        <w:t xml:space="preserve"> об’єктів фізичного оточення і послуг для осіб з інвалідністю</w:t>
      </w:r>
      <w:r w:rsidR="004D1D1E">
        <w:rPr>
          <w:rStyle w:val="st161"/>
          <w:lang w:val="uk-UA"/>
        </w:rPr>
        <w:t xml:space="preserve"> </w:t>
      </w:r>
      <w:r w:rsidRPr="004D1D1E">
        <w:rPr>
          <w:rStyle w:val="st161"/>
          <w:lang w:val="uk-UA"/>
        </w:rPr>
        <w:t>у</w:t>
      </w:r>
      <w:r w:rsidR="004D1D1E">
        <w:rPr>
          <w:rStyle w:val="st161"/>
          <w:lang w:val="uk-UA"/>
        </w:rPr>
        <w:t xml:space="preserve"> </w:t>
      </w:r>
      <w:r w:rsidR="006D5468" w:rsidRPr="004D1D1E">
        <w:rPr>
          <w:rStyle w:val="st161"/>
          <w:lang w:val="uk-UA"/>
        </w:rPr>
        <w:t>Созонівськ</w:t>
      </w:r>
      <w:r w:rsidR="004D1D1E">
        <w:rPr>
          <w:rStyle w:val="st161"/>
          <w:lang w:val="uk-UA"/>
        </w:rPr>
        <w:t xml:space="preserve">ому </w:t>
      </w:r>
      <w:r w:rsidR="006D5468" w:rsidRPr="004D1D1E">
        <w:rPr>
          <w:rStyle w:val="st161"/>
          <w:lang w:val="uk-UA"/>
        </w:rPr>
        <w:t xml:space="preserve"> заклад</w:t>
      </w:r>
      <w:r w:rsidR="004D1D1E">
        <w:rPr>
          <w:rStyle w:val="st161"/>
          <w:lang w:val="uk-UA"/>
        </w:rPr>
        <w:t>і</w:t>
      </w:r>
      <w:r w:rsidR="006D5468" w:rsidRPr="004D1D1E">
        <w:rPr>
          <w:rStyle w:val="st161"/>
          <w:lang w:val="uk-UA"/>
        </w:rPr>
        <w:t xml:space="preserve"> дошкільної освіти «Віночок»</w:t>
      </w:r>
    </w:p>
    <w:tbl>
      <w:tblPr>
        <w:tblW w:w="615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80"/>
        <w:gridCol w:w="16"/>
        <w:gridCol w:w="3251"/>
        <w:gridCol w:w="1247"/>
        <w:gridCol w:w="1160"/>
        <w:gridCol w:w="617"/>
        <w:gridCol w:w="335"/>
        <w:gridCol w:w="82"/>
        <w:gridCol w:w="925"/>
        <w:gridCol w:w="220"/>
        <w:gridCol w:w="1198"/>
        <w:gridCol w:w="2343"/>
      </w:tblGrid>
      <w:tr w:rsidR="00E06E85" w:rsidRPr="004D1D1E" w:rsidTr="00E06E85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Загальна інформація про об’єкт</w:t>
            </w:r>
          </w:p>
        </w:tc>
      </w:tr>
      <w:tr w:rsidR="00E06E85" w:rsidRPr="004D1D1E" w:rsidTr="00E06E85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Дата проведення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02.09.2021року</w:t>
            </w:r>
          </w:p>
        </w:tc>
      </w:tr>
      <w:tr w:rsidR="00E06E85" w:rsidRPr="004D1D1E" w:rsidTr="00E06E85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Адреса розташування об’єкта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Вул. Центральна 7</w:t>
            </w:r>
          </w:p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с. Созонівка , Кропивницький район Кіровоградська область</w:t>
            </w:r>
          </w:p>
        </w:tc>
      </w:tr>
      <w:tr w:rsidR="00E06E85" w:rsidRPr="004D1D1E" w:rsidTr="00E06E85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Форма власності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Комунальна</w:t>
            </w:r>
          </w:p>
        </w:tc>
      </w:tr>
      <w:tr w:rsidR="00E06E85" w:rsidRPr="004D1D1E" w:rsidTr="00E06E85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Найменування послуги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Дошкільна освіта</w:t>
            </w:r>
          </w:p>
        </w:tc>
      </w:tr>
      <w:tr w:rsidR="00E06E85" w:rsidRPr="004D1D1E" w:rsidTr="00E06E85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Особа, яка проводила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провідний спеціаліст  Олександр </w:t>
            </w:r>
            <w:proofErr w:type="spellStart"/>
            <w:r w:rsidRPr="004D1D1E">
              <w:rPr>
                <w:rStyle w:val="st42"/>
                <w:b/>
                <w:bCs/>
                <w:lang w:val="uk-UA" w:eastAsia="en-US"/>
              </w:rPr>
              <w:t>Криволапов</w:t>
            </w:r>
            <w:proofErr w:type="spellEnd"/>
          </w:p>
        </w:tc>
      </w:tr>
      <w:tr w:rsidR="00E06E85" w:rsidRPr="004D1D1E" w:rsidTr="00E06E85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 xml:space="preserve">Контактні дані про особу, яка проводила обстеження (контактний номер телефону, адреса електронної пошти)тел.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0661715845,</w:t>
            </w:r>
            <w:hyperlink r:id="rId4" w:history="1">
              <w:r w:rsidRPr="004D1D1E">
                <w:rPr>
                  <w:rStyle w:val="a3"/>
                  <w:b/>
                  <w:bCs/>
                  <w:lang w:val="uk-UA" w:eastAsia="en-US"/>
                </w:rPr>
                <w:t>severunka2014@ukr.net</w:t>
              </w:r>
            </w:hyperlink>
          </w:p>
        </w:tc>
      </w:tr>
      <w:tr w:rsidR="00E06E85" w:rsidRPr="004D1D1E" w:rsidTr="00E06E85">
        <w:trPr>
          <w:tblCellSpacing w:w="0" w:type="dxa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2333" w:type="dxa"/>
          </w:tcPr>
          <w:p w:rsidR="00E06E85" w:rsidRPr="004D1D1E" w:rsidRDefault="00E06E85"/>
        </w:tc>
      </w:tr>
      <w:tr w:rsidR="00E06E85" w:rsidRPr="004D1D1E" w:rsidTr="00E06E85"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/>
              </w:rPr>
            </w:pPr>
            <w:r w:rsidRPr="004D1D1E">
              <w:rPr>
                <w:rStyle w:val="st44"/>
                <w:lang w:val="uk-UA" w:eastAsia="en-US"/>
              </w:rPr>
              <w:t xml:space="preserve">Критерії </w:t>
            </w:r>
            <w:proofErr w:type="spellStart"/>
            <w:r w:rsidRPr="004D1D1E">
              <w:rPr>
                <w:rStyle w:val="st44"/>
                <w:lang w:val="uk-UA" w:eastAsia="en-US"/>
              </w:rPr>
              <w:t>безбар’єрності</w:t>
            </w:r>
            <w:proofErr w:type="spellEnd"/>
            <w:r w:rsidRPr="004D1D1E">
              <w:rPr>
                <w:rStyle w:val="st44"/>
                <w:lang w:val="uk-UA" w:eastAsia="en-US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 xml:space="preserve">Відповідність критеріям </w:t>
            </w:r>
            <w:r w:rsidRPr="004D1D1E">
              <w:rPr>
                <w:rStyle w:val="st44"/>
                <w:lang w:val="uk-UA" w:eastAsia="en-US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Примітки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</w:t>
            </w:r>
            <w:r w:rsidRPr="004D1D1E">
              <w:rPr>
                <w:rStyle w:val="st42"/>
                <w:lang w:val="uk-UA" w:eastAsia="en-US"/>
              </w:rPr>
              <w:lastRenderedPageBreak/>
              <w:t>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4D1D1E">
              <w:rPr>
                <w:rStyle w:val="st42"/>
                <w:lang w:val="uk-UA" w:eastAsia="en-US"/>
              </w:rPr>
              <w:t>крупноструктурних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4D1D1E">
              <w:rPr>
                <w:rStyle w:val="st42"/>
                <w:lang w:val="uk-UA" w:eastAsia="en-US"/>
              </w:rPr>
              <w:t>продубльовані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4D1D1E">
              <w:rPr>
                <w:rStyle w:val="st42"/>
                <w:lang w:val="uk-UA" w:eastAsia="en-US"/>
              </w:rPr>
              <w:t>тактильно</w:t>
            </w:r>
            <w:proofErr w:type="spellEnd"/>
            <w:r w:rsidRPr="004D1D1E">
              <w:rPr>
                <w:rStyle w:val="st42"/>
                <w:lang w:val="uk-UA" w:eastAsia="en-US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2) у разі наявності на вході до будівлі або споруди сходів </w:t>
            </w:r>
            <w:r w:rsidRPr="004D1D1E">
              <w:rPr>
                <w:rStyle w:val="st42"/>
                <w:lang w:val="uk-UA" w:eastAsia="en-US"/>
              </w:rPr>
              <w:lastRenderedPageBreak/>
              <w:t xml:space="preserve">вони </w:t>
            </w:r>
            <w:proofErr w:type="spellStart"/>
            <w:r w:rsidRPr="004D1D1E">
              <w:rPr>
                <w:rStyle w:val="st42"/>
                <w:lang w:val="uk-UA" w:eastAsia="en-US"/>
              </w:rPr>
              <w:t>продубльовані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5) двері облаштовані спеціальними пристосуваннями для фіксації дверних полотен в положенні </w:t>
            </w:r>
            <w:proofErr w:type="spellStart"/>
            <w:r w:rsidRPr="004D1D1E">
              <w:rPr>
                <w:rStyle w:val="st42"/>
                <w:lang w:val="uk-UA" w:eastAsia="en-US"/>
              </w:rPr>
              <w:t>“зачинено”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і </w:t>
            </w:r>
            <w:proofErr w:type="spellStart"/>
            <w:r w:rsidRPr="004D1D1E">
              <w:rPr>
                <w:rStyle w:val="st42"/>
                <w:lang w:val="uk-UA" w:eastAsia="en-US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lastRenderedPageBreak/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4D1D1E">
              <w:rPr>
                <w:rStyle w:val="st42"/>
                <w:lang w:val="uk-UA" w:eastAsia="en-US"/>
              </w:rPr>
              <w:t>продубльовані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ні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4) двері облаштовані спеціальними пристосуваннями для фіксації дверних полотен в положенні </w:t>
            </w:r>
            <w:proofErr w:type="spellStart"/>
            <w:r w:rsidRPr="004D1D1E">
              <w:rPr>
                <w:rStyle w:val="st42"/>
                <w:lang w:val="uk-UA" w:eastAsia="en-US"/>
              </w:rPr>
              <w:t>“зачинено”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і </w:t>
            </w:r>
            <w:proofErr w:type="spellStart"/>
            <w:r w:rsidRPr="004D1D1E">
              <w:rPr>
                <w:rStyle w:val="st42"/>
                <w:lang w:val="uk-UA" w:eastAsia="en-US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4D1D1E">
              <w:rPr>
                <w:rStyle w:val="st42"/>
                <w:lang w:val="uk-UA" w:eastAsia="en-US"/>
              </w:rPr>
              <w:t>відеозв’язку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, перекладу на жестову мову, оснащення спеціальними персональними приладами підсилення звуку), </w:t>
            </w:r>
            <w:r w:rsidRPr="004D1D1E">
              <w:rPr>
                <w:rStyle w:val="st42"/>
                <w:lang w:val="uk-UA" w:eastAsia="en-US"/>
              </w:rPr>
              <w:lastRenderedPageBreak/>
              <w:t>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F9383A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16) номери поверхів, зазначені на кнопках ліфта, </w:t>
            </w:r>
            <w:proofErr w:type="spellStart"/>
            <w:r w:rsidRPr="004D1D1E">
              <w:rPr>
                <w:rStyle w:val="st42"/>
                <w:lang w:val="uk-UA" w:eastAsia="en-US"/>
              </w:rPr>
              <w:t>продубльовані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у тактильному вигляді та шрифтом </w:t>
            </w:r>
            <w:proofErr w:type="spellStart"/>
            <w:r w:rsidRPr="004D1D1E">
              <w:rPr>
                <w:rStyle w:val="st42"/>
                <w:lang w:val="uk-UA" w:eastAsia="en-US"/>
              </w:rPr>
              <w:t>Брайля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</w:t>
            </w:r>
            <w:r w:rsidRPr="004D1D1E">
              <w:rPr>
                <w:rStyle w:val="st42"/>
                <w:lang w:val="uk-UA" w:eastAsia="en-US"/>
              </w:rPr>
              <w:lastRenderedPageBreak/>
              <w:t>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30) відповідна схема виконана в доступних (візуально/</w:t>
            </w:r>
            <w:proofErr w:type="spellStart"/>
            <w:r w:rsidRPr="004D1D1E">
              <w:rPr>
                <w:rStyle w:val="st42"/>
                <w:lang w:val="uk-UA" w:eastAsia="en-US"/>
              </w:rPr>
              <w:t>тактильно</w:t>
            </w:r>
            <w:proofErr w:type="spellEnd"/>
            <w:r w:rsidRPr="004D1D1E">
              <w:rPr>
                <w:rStyle w:val="st42"/>
                <w:lang w:val="uk-UA" w:eastAsia="en-US"/>
              </w:rPr>
              <w:t>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F9383A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 xml:space="preserve">35) ширина проходу в приміщенні з обладнанням і меблями </w:t>
            </w:r>
            <w:r w:rsidRPr="004D1D1E">
              <w:rPr>
                <w:rStyle w:val="st42"/>
                <w:lang w:val="uk-UA" w:eastAsia="en-US"/>
              </w:rPr>
              <w:lastRenderedPageBreak/>
              <w:t>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F9383A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F9383A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proofErr w:type="spellStart"/>
            <w:r w:rsidRPr="004D1D1E">
              <w:rPr>
                <w:rStyle w:val="st42"/>
                <w:lang w:val="uk-UA" w:eastAsia="en-US"/>
              </w:rPr>
              <w:t>Безбар’єрність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 xml:space="preserve">1) </w:t>
            </w:r>
            <w:proofErr w:type="spellStart"/>
            <w:r w:rsidRPr="004D1D1E">
              <w:rPr>
                <w:rStyle w:val="st42"/>
                <w:lang w:val="uk-UA" w:eastAsia="en-US"/>
              </w:rPr>
              <w:t>веб-сайти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</w:t>
            </w:r>
            <w:proofErr w:type="spellStart"/>
            <w:r w:rsidRPr="004D1D1E">
              <w:rPr>
                <w:rStyle w:val="st42"/>
                <w:lang w:val="uk-UA" w:eastAsia="en-US"/>
              </w:rPr>
              <w:t>“Інформаційні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технології. Настанова з доступності </w:t>
            </w:r>
            <w:proofErr w:type="spellStart"/>
            <w:r w:rsidRPr="004D1D1E">
              <w:rPr>
                <w:rStyle w:val="st42"/>
                <w:lang w:val="uk-UA" w:eastAsia="en-US"/>
              </w:rPr>
              <w:t>веб-контенту</w:t>
            </w:r>
            <w:proofErr w:type="spellEnd"/>
            <w:r w:rsidRPr="004D1D1E">
              <w:rPr>
                <w:rStyle w:val="st42"/>
                <w:lang w:val="uk-UA" w:eastAsia="en-US"/>
              </w:rPr>
              <w:t xml:space="preserve">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Серед працюючих кількість осіб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З них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/>
              </w:rPr>
            </w:pPr>
            <w:r w:rsidRPr="004D1D1E">
              <w:rPr>
                <w:rStyle w:val="st44"/>
                <w:lang w:val="uk-UA" w:eastAsia="en-US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мають інші порушення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 w:eastAsia="en-US"/>
              </w:rPr>
            </w:pP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 w:rsidRPr="004D1D1E">
              <w:rPr>
                <w:rStyle w:val="st42"/>
                <w:lang w:val="uk-UA" w:eastAsia="en-US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З них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/>
              </w:rPr>
            </w:pPr>
            <w:r w:rsidRPr="004D1D1E">
              <w:rPr>
                <w:rStyle w:val="st44"/>
                <w:lang w:val="uk-UA" w:eastAsia="en-US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4"/>
                <w:lang w:val="uk-UA" w:eastAsia="en-US"/>
              </w:rPr>
            </w:pPr>
            <w:r w:rsidRPr="004D1D1E">
              <w:rPr>
                <w:rStyle w:val="st44"/>
                <w:lang w:val="uk-UA" w:eastAsia="en-US"/>
              </w:rPr>
              <w:t>мають інші порушення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F9383A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F9383A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F9383A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E06E85" w:rsidRPr="004D1D1E" w:rsidTr="00E06E85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E06E85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 w:rsidRPr="004D1D1E">
              <w:rPr>
                <w:rStyle w:val="st42"/>
                <w:lang w:val="uk-UA" w:eastAsia="en-US"/>
              </w:rPr>
              <w:t>з них жінки</w:t>
            </w: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85" w:rsidRPr="004D1D1E" w:rsidRDefault="00F9383A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 w:rsidRPr="004D1D1E"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85" w:rsidRPr="004D1D1E" w:rsidRDefault="00E06E85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</w:tbl>
    <w:p w:rsidR="00E06E85" w:rsidRPr="004D1D1E" w:rsidRDefault="00E06E85" w:rsidP="00E06E85">
      <w:pPr>
        <w:pStyle w:val="st14"/>
        <w:rPr>
          <w:rStyle w:val="st42"/>
          <w:u w:val="single"/>
          <w:lang w:val="uk-UA"/>
        </w:rPr>
      </w:pPr>
      <w:r w:rsidRPr="004D1D1E">
        <w:rPr>
          <w:rStyle w:val="st42"/>
          <w:lang w:val="uk-UA"/>
        </w:rPr>
        <w:t xml:space="preserve">Підсумки </w:t>
      </w:r>
      <w:proofErr w:type="spellStart"/>
      <w:r w:rsidRPr="004D1D1E">
        <w:rPr>
          <w:rStyle w:val="st42"/>
          <w:lang w:val="uk-UA"/>
        </w:rPr>
        <w:t>_________</w:t>
      </w:r>
      <w:r w:rsidRPr="004D1D1E">
        <w:rPr>
          <w:rStyle w:val="st42"/>
          <w:b/>
          <w:bCs/>
          <w:u w:val="single"/>
          <w:lang w:val="uk-UA"/>
        </w:rPr>
        <w:t>Бар'єрний</w:t>
      </w:r>
      <w:r w:rsidRPr="004D1D1E">
        <w:rPr>
          <w:rStyle w:val="st42"/>
          <w:lang w:val="uk-UA"/>
        </w:rPr>
        <w:t>_____</w:t>
      </w:r>
      <w:proofErr w:type="spellEnd"/>
      <w:r w:rsidRPr="004D1D1E">
        <w:rPr>
          <w:rStyle w:val="st42"/>
          <w:lang w:val="uk-UA"/>
        </w:rPr>
        <w:t>__*</w:t>
      </w:r>
    </w:p>
    <w:p w:rsidR="00E06E85" w:rsidRPr="004D1D1E" w:rsidRDefault="00E06E85" w:rsidP="00E06E85">
      <w:pPr>
        <w:pStyle w:val="st8"/>
        <w:rPr>
          <w:rStyle w:val="st82"/>
          <w:lang w:val="uk-UA"/>
        </w:rPr>
      </w:pPr>
      <w:r w:rsidRPr="004D1D1E">
        <w:rPr>
          <w:rStyle w:val="st82"/>
          <w:lang w:val="uk-UA"/>
        </w:rPr>
        <w:t>__________</w:t>
      </w:r>
      <w:r w:rsidRPr="004D1D1E">
        <w:rPr>
          <w:rStyle w:val="st82"/>
          <w:lang w:val="uk-UA"/>
        </w:rPr>
        <w:br/>
        <w:t>* Зазначається:</w:t>
      </w:r>
      <w:r w:rsidRPr="004D1D1E">
        <w:rPr>
          <w:rStyle w:val="st82"/>
          <w:lang w:val="uk-UA"/>
        </w:rPr>
        <w:br/>
        <w:t xml:space="preserve">об’єкт є </w:t>
      </w:r>
      <w:proofErr w:type="spellStart"/>
      <w:r w:rsidRPr="004D1D1E">
        <w:rPr>
          <w:rStyle w:val="st82"/>
          <w:lang w:val="uk-UA"/>
        </w:rPr>
        <w:t>безбар’єрним</w:t>
      </w:r>
      <w:proofErr w:type="spellEnd"/>
      <w:r w:rsidRPr="004D1D1E">
        <w:rPr>
          <w:rStyle w:val="st82"/>
          <w:lang w:val="uk-UA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1D1E">
        <w:rPr>
          <w:rStyle w:val="st82"/>
          <w:lang w:val="uk-UA"/>
        </w:rPr>
        <w:br/>
        <w:t xml:space="preserve">об’єкт має часткову </w:t>
      </w:r>
      <w:proofErr w:type="spellStart"/>
      <w:r w:rsidRPr="004D1D1E">
        <w:rPr>
          <w:rStyle w:val="st82"/>
          <w:lang w:val="uk-UA"/>
        </w:rPr>
        <w:t>безбар’єрність</w:t>
      </w:r>
      <w:proofErr w:type="spellEnd"/>
      <w:r w:rsidRPr="004D1D1E">
        <w:rPr>
          <w:rStyle w:val="st82"/>
          <w:lang w:val="uk-UA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E06E85" w:rsidRPr="004D1D1E" w:rsidRDefault="00E06E85" w:rsidP="00E06E85">
      <w:pPr>
        <w:pStyle w:val="st14"/>
        <w:rPr>
          <w:rStyle w:val="st42"/>
          <w:lang w:val="uk-UA"/>
        </w:rPr>
      </w:pPr>
      <w:r w:rsidRPr="004D1D1E">
        <w:rPr>
          <w:rStyle w:val="st42"/>
          <w:lang w:val="uk-UA"/>
        </w:rPr>
        <w:t xml:space="preserve">Управитель об’єкта </w:t>
      </w:r>
      <w:r w:rsidRPr="004D1D1E">
        <w:rPr>
          <w:rStyle w:val="st42"/>
          <w:b/>
          <w:bCs/>
          <w:lang w:val="uk-UA"/>
        </w:rPr>
        <w:t>Великосеверинівська сільська рада</w:t>
      </w:r>
    </w:p>
    <w:p w:rsidR="00E06E85" w:rsidRPr="004D1D1E" w:rsidRDefault="00E06E85" w:rsidP="00E06E85">
      <w:pPr>
        <w:pStyle w:val="st14"/>
        <w:rPr>
          <w:rStyle w:val="st42"/>
          <w:lang w:val="uk-UA"/>
        </w:rPr>
      </w:pPr>
      <w:r w:rsidRPr="004D1D1E">
        <w:rPr>
          <w:rStyle w:val="st42"/>
          <w:lang w:val="uk-UA"/>
        </w:rPr>
        <w:t>“  12  ”  серпня  2021  р.</w:t>
      </w:r>
    </w:p>
    <w:p w:rsidR="00E06E85" w:rsidRPr="004D1D1E" w:rsidRDefault="00E06E85" w:rsidP="00E06E85"/>
    <w:p w:rsidR="00E52B3D" w:rsidRPr="004D1D1E" w:rsidRDefault="00E52B3D"/>
    <w:sectPr w:rsidR="00E52B3D" w:rsidRPr="004D1D1E" w:rsidSect="00A70D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CF8"/>
    <w:rsid w:val="004D1D1E"/>
    <w:rsid w:val="004F72FB"/>
    <w:rsid w:val="006D5468"/>
    <w:rsid w:val="00A70D32"/>
    <w:rsid w:val="00C31A08"/>
    <w:rsid w:val="00E06E85"/>
    <w:rsid w:val="00E52B3D"/>
    <w:rsid w:val="00F14CF8"/>
    <w:rsid w:val="00F9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85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E85"/>
    <w:rPr>
      <w:color w:val="0563C1" w:themeColor="hyperlink"/>
      <w:u w:val="single"/>
    </w:rPr>
  </w:style>
  <w:style w:type="paragraph" w:customStyle="1" w:styleId="st7">
    <w:name w:val="st7"/>
    <w:uiPriority w:val="99"/>
    <w:rsid w:val="00E06E85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E06E8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E06E85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E06E8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06E85"/>
    <w:rPr>
      <w:color w:val="000000"/>
    </w:rPr>
  </w:style>
  <w:style w:type="character" w:customStyle="1" w:styleId="st161">
    <w:name w:val="st161"/>
    <w:uiPriority w:val="99"/>
    <w:rsid w:val="00E06E85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E06E85"/>
    <w:rPr>
      <w:b/>
      <w:bCs/>
      <w:color w:val="000000"/>
    </w:rPr>
  </w:style>
  <w:style w:type="character" w:customStyle="1" w:styleId="st82">
    <w:name w:val="st82"/>
    <w:uiPriority w:val="99"/>
    <w:rsid w:val="00E06E8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2021-09-29T11:37:00Z</dcterms:created>
  <dcterms:modified xsi:type="dcterms:W3CDTF">2021-09-29T11:37:00Z</dcterms:modified>
</cp:coreProperties>
</file>