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6FD3" w14:textId="77777777" w:rsidR="00D94449" w:rsidRPr="00D94449" w:rsidRDefault="00D94449" w:rsidP="00D94449">
      <w:pPr>
        <w:tabs>
          <w:tab w:val="left" w:pos="3969"/>
        </w:tabs>
        <w:spacing w:after="0"/>
        <w:ind w:left="851" w:firstLine="5953"/>
        <w:jc w:val="right"/>
        <w:rPr>
          <w:rFonts w:eastAsia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  <w:r w:rsidRPr="00D94449">
        <w:rPr>
          <w:rFonts w:eastAsia="Times New Roman" w:cs="Times New Roman"/>
          <w:b/>
          <w:sz w:val="26"/>
          <w:szCs w:val="26"/>
          <w:lang w:val="uk-UA" w:eastAsia="ru-RU"/>
        </w:rPr>
        <w:t xml:space="preserve">Додаток </w:t>
      </w:r>
    </w:p>
    <w:p w14:paraId="172EBA30" w14:textId="77777777" w:rsidR="00D94449" w:rsidRPr="00D94449" w:rsidRDefault="00D94449" w:rsidP="00D94449">
      <w:pPr>
        <w:tabs>
          <w:tab w:val="left" w:pos="3969"/>
        </w:tabs>
        <w:spacing w:after="0"/>
        <w:ind w:firstLine="6804"/>
        <w:jc w:val="right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D94449">
        <w:rPr>
          <w:rFonts w:eastAsia="Times New Roman" w:cs="Times New Roman"/>
          <w:b/>
          <w:sz w:val="26"/>
          <w:szCs w:val="26"/>
          <w:lang w:val="uk-UA" w:eastAsia="ru-RU"/>
        </w:rPr>
        <w:t>до Програми</w:t>
      </w:r>
    </w:p>
    <w:p w14:paraId="76A97051" w14:textId="77777777" w:rsidR="00D94449" w:rsidRPr="00D94449" w:rsidRDefault="00D94449" w:rsidP="00D94449">
      <w:pPr>
        <w:tabs>
          <w:tab w:val="left" w:pos="3969"/>
        </w:tabs>
        <w:spacing w:after="0" w:line="312" w:lineRule="auto"/>
        <w:ind w:firstLine="5529"/>
        <w:rPr>
          <w:rFonts w:eastAsia="Times New Roman" w:cs="Times New Roman"/>
          <w:sz w:val="16"/>
          <w:szCs w:val="16"/>
          <w:lang w:val="uk-UA" w:eastAsia="ru-RU"/>
        </w:rPr>
      </w:pPr>
    </w:p>
    <w:p w14:paraId="5D46CC0F" w14:textId="77777777" w:rsidR="00D94449" w:rsidRPr="00D94449" w:rsidRDefault="00D94449" w:rsidP="00D94449">
      <w:pPr>
        <w:tabs>
          <w:tab w:val="left" w:pos="3969"/>
        </w:tabs>
        <w:spacing w:after="0" w:line="312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D94449">
        <w:rPr>
          <w:rFonts w:eastAsia="Times New Roman" w:cs="Times New Roman"/>
          <w:b/>
          <w:sz w:val="26"/>
          <w:szCs w:val="26"/>
          <w:lang w:val="uk-UA" w:eastAsia="ru-RU"/>
        </w:rPr>
        <w:t>Перелік заходів Програми та орієнтовані обсяги фінансування</w:t>
      </w:r>
    </w:p>
    <w:tbl>
      <w:tblPr>
        <w:tblW w:w="521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0"/>
        <w:gridCol w:w="52"/>
        <w:gridCol w:w="2899"/>
        <w:gridCol w:w="1548"/>
        <w:gridCol w:w="61"/>
        <w:gridCol w:w="1485"/>
        <w:gridCol w:w="58"/>
        <w:gridCol w:w="1469"/>
        <w:gridCol w:w="18"/>
        <w:gridCol w:w="2107"/>
        <w:gridCol w:w="30"/>
        <w:gridCol w:w="3173"/>
        <w:gridCol w:w="30"/>
      </w:tblGrid>
      <w:tr w:rsidR="00D94449" w:rsidRPr="00D94449" w14:paraId="315B855C" w14:textId="77777777" w:rsidTr="004C0244">
        <w:trPr>
          <w:gridAfter w:val="1"/>
          <w:wAfter w:w="10" w:type="pct"/>
          <w:cantSplit/>
          <w:trHeight w:val="497"/>
        </w:trPr>
        <w:tc>
          <w:tcPr>
            <w:tcW w:w="758" w:type="pct"/>
            <w:gridSpan w:val="2"/>
            <w:vMerge w:val="restart"/>
          </w:tcPr>
          <w:p w14:paraId="000F4660" w14:textId="77777777" w:rsidR="00D94449" w:rsidRPr="00D94449" w:rsidRDefault="00D94449" w:rsidP="00D94449">
            <w:pPr>
              <w:widowControl w:val="0"/>
              <w:spacing w:after="0"/>
              <w:ind w:right="-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  <w:p w14:paraId="650B8C11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pct"/>
            <w:vMerge w:val="restart"/>
          </w:tcPr>
          <w:p w14:paraId="0709550D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Сума, тис.грн.</w:t>
            </w:r>
          </w:p>
          <w:p w14:paraId="0C1091EB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22" w:type="pct"/>
            <w:gridSpan w:val="5"/>
          </w:tcPr>
          <w:p w14:paraId="72BA8EB4" w14:textId="77777777" w:rsidR="00D94449" w:rsidRPr="00D94449" w:rsidRDefault="00D94449" w:rsidP="00D94449">
            <w:pPr>
              <w:widowControl w:val="0"/>
              <w:spacing w:after="0"/>
              <w:ind w:left="-25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в.т</w:t>
            </w:r>
            <w:proofErr w:type="spellEnd"/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. ч. на:</w:t>
            </w:r>
          </w:p>
          <w:p w14:paraId="7A018147" w14:textId="77777777" w:rsidR="00D94449" w:rsidRPr="00D94449" w:rsidRDefault="00D94449" w:rsidP="00D94449">
            <w:pPr>
              <w:tabs>
                <w:tab w:val="left" w:pos="2310"/>
              </w:tabs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14:paraId="26C98498" w14:textId="77777777" w:rsidR="00D94449" w:rsidRPr="00D94449" w:rsidRDefault="00D94449" w:rsidP="00D94449">
            <w:pPr>
              <w:widowControl w:val="0"/>
              <w:spacing w:after="0"/>
              <w:ind w:left="-60" w:right="-56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gridSpan w:val="3"/>
            <w:vMerge w:val="restart"/>
          </w:tcPr>
          <w:p w14:paraId="1BF0822E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  <w:p w14:paraId="74BED2B5" w14:textId="77777777" w:rsidR="00D94449" w:rsidRPr="00D94449" w:rsidRDefault="00D94449" w:rsidP="00D9444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  <w:vMerge w:val="restart"/>
          </w:tcPr>
          <w:p w14:paraId="57A66C34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Очікуваний</w:t>
            </w:r>
          </w:p>
          <w:p w14:paraId="2691E9DF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результат</w:t>
            </w:r>
          </w:p>
          <w:p w14:paraId="46C5E7D4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94449" w:rsidRPr="00D94449" w14:paraId="7496B37C" w14:textId="77777777" w:rsidTr="004C0244">
        <w:trPr>
          <w:gridAfter w:val="1"/>
          <w:wAfter w:w="10" w:type="pct"/>
          <w:trHeight w:val="159"/>
          <w:tblHeader/>
        </w:trPr>
        <w:tc>
          <w:tcPr>
            <w:tcW w:w="758" w:type="pct"/>
            <w:gridSpan w:val="2"/>
            <w:vMerge/>
            <w:tcBorders>
              <w:bottom w:val="single" w:sz="4" w:space="0" w:color="auto"/>
            </w:tcBorders>
          </w:tcPr>
          <w:p w14:paraId="1F17EFFE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pct"/>
            <w:vMerge/>
          </w:tcPr>
          <w:p w14:paraId="745EA761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gridSpan w:val="2"/>
          </w:tcPr>
          <w:p w14:paraId="6E4838B6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Придбання запчастин та паливно-мастильних матеріалів</w:t>
            </w:r>
          </w:p>
        </w:tc>
        <w:tc>
          <w:tcPr>
            <w:tcW w:w="508" w:type="pct"/>
            <w:gridSpan w:val="2"/>
          </w:tcPr>
          <w:p w14:paraId="63B47D59" w14:textId="77777777" w:rsidR="00D94449" w:rsidRPr="00D94449" w:rsidRDefault="00D94449" w:rsidP="00D94449">
            <w:pPr>
              <w:widowControl w:val="0"/>
              <w:spacing w:after="0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Оплата послуги поточних та капітальних ремонтів</w:t>
            </w:r>
          </w:p>
        </w:tc>
        <w:tc>
          <w:tcPr>
            <w:tcW w:w="484" w:type="pct"/>
          </w:tcPr>
          <w:p w14:paraId="1E39BA71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Оплата послуг страхування та технічного огляду</w:t>
            </w:r>
          </w:p>
        </w:tc>
        <w:tc>
          <w:tcPr>
            <w:tcW w:w="710" w:type="pct"/>
            <w:gridSpan w:val="3"/>
            <w:vMerge/>
          </w:tcPr>
          <w:p w14:paraId="27B2453D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  <w:vMerge/>
          </w:tcPr>
          <w:p w14:paraId="7D16F3DF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94449" w:rsidRPr="00D94449" w14:paraId="56490704" w14:textId="77777777" w:rsidTr="004C024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09774" w14:textId="77777777" w:rsidR="00D94449" w:rsidRPr="00D94449" w:rsidRDefault="00D94449" w:rsidP="00D94449">
            <w:pPr>
              <w:widowControl w:val="0"/>
              <w:spacing w:after="0"/>
              <w:ind w:right="-13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2021</w:t>
            </w:r>
          </w:p>
          <w:p w14:paraId="7E6F1D45" w14:textId="77777777" w:rsidR="00D94449" w:rsidRPr="00D94449" w:rsidRDefault="00D94449" w:rsidP="00D94449">
            <w:pPr>
              <w:widowControl w:val="0"/>
              <w:spacing w:after="0"/>
              <w:ind w:right="-13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14:paraId="07C2E1FF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530" w:type="pct"/>
            <w:gridSpan w:val="2"/>
          </w:tcPr>
          <w:p w14:paraId="5A64A5EA" w14:textId="77777777" w:rsidR="00D94449" w:rsidRPr="00D94449" w:rsidRDefault="00D94449" w:rsidP="00D94449">
            <w:pPr>
              <w:spacing w:after="0"/>
              <w:ind w:left="-57" w:right="-8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260,0</w:t>
            </w:r>
          </w:p>
        </w:tc>
        <w:tc>
          <w:tcPr>
            <w:tcW w:w="508" w:type="pct"/>
            <w:gridSpan w:val="2"/>
          </w:tcPr>
          <w:p w14:paraId="623DD746" w14:textId="77777777" w:rsidR="00D94449" w:rsidRPr="00D94449" w:rsidRDefault="00D94449" w:rsidP="00D9444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484" w:type="pct"/>
          </w:tcPr>
          <w:p w14:paraId="79788D64" w14:textId="77777777" w:rsidR="00D94449" w:rsidRPr="00D94449" w:rsidRDefault="00D94449" w:rsidP="00D94449">
            <w:pPr>
              <w:widowControl w:val="0"/>
              <w:spacing w:after="0"/>
              <w:ind w:left="-70" w:right="-55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710" w:type="pct"/>
            <w:gridSpan w:val="3"/>
            <w:vMerge w:val="restart"/>
          </w:tcPr>
          <w:p w14:paraId="20D523ED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2BCFF279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6395C859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045" w:type="pct"/>
            <w:vMerge w:val="restart"/>
          </w:tcPr>
          <w:p w14:paraId="0433E79C" w14:textId="77777777" w:rsidR="00D94449" w:rsidRPr="00D94449" w:rsidRDefault="00D94449" w:rsidP="00D9444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у сільській місцевості регулярного безоплатного перевезення до місць навчання, роботи  і додому здобувачів освіти, педагогічних працівників та обслуговуючого персоналу</w:t>
            </w:r>
          </w:p>
        </w:tc>
      </w:tr>
      <w:tr w:rsidR="00D94449" w:rsidRPr="00D94449" w14:paraId="158B8C19" w14:textId="77777777" w:rsidTr="004C024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EF8E6" w14:textId="77777777" w:rsidR="00D94449" w:rsidRPr="00D94449" w:rsidRDefault="00D94449" w:rsidP="00D94449">
            <w:pPr>
              <w:widowControl w:val="0"/>
              <w:spacing w:after="0"/>
              <w:ind w:right="-13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14:paraId="4FBF5E3B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317,5</w:t>
            </w:r>
          </w:p>
        </w:tc>
        <w:tc>
          <w:tcPr>
            <w:tcW w:w="530" w:type="pct"/>
            <w:gridSpan w:val="2"/>
          </w:tcPr>
          <w:p w14:paraId="7B8ECCA1" w14:textId="77777777" w:rsidR="00D94449" w:rsidRPr="00D94449" w:rsidRDefault="00D94449" w:rsidP="00D94449">
            <w:pPr>
              <w:spacing w:after="0"/>
              <w:ind w:left="-60" w:right="-8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508" w:type="pct"/>
            <w:gridSpan w:val="2"/>
          </w:tcPr>
          <w:p w14:paraId="304D3C78" w14:textId="77777777" w:rsidR="00D94449" w:rsidRPr="00D94449" w:rsidRDefault="00D94449" w:rsidP="00D94449">
            <w:pPr>
              <w:spacing w:after="0"/>
              <w:ind w:left="-58" w:right="-5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484" w:type="pct"/>
          </w:tcPr>
          <w:p w14:paraId="1E15845D" w14:textId="77777777" w:rsidR="00D94449" w:rsidRPr="00D94449" w:rsidRDefault="00D94449" w:rsidP="00D94449">
            <w:pPr>
              <w:widowControl w:val="0"/>
              <w:spacing w:after="0"/>
              <w:ind w:left="-70" w:right="-55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710" w:type="pct"/>
            <w:gridSpan w:val="3"/>
            <w:vMerge/>
          </w:tcPr>
          <w:p w14:paraId="3A83A32D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  <w:vMerge/>
          </w:tcPr>
          <w:p w14:paraId="6717C272" w14:textId="77777777" w:rsidR="00D94449" w:rsidRPr="00D94449" w:rsidRDefault="00D94449" w:rsidP="00D9444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4449" w:rsidRPr="00D94449" w14:paraId="52DD364B" w14:textId="77777777" w:rsidTr="004C024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A5827" w14:textId="77777777" w:rsidR="00D94449" w:rsidRPr="00D94449" w:rsidRDefault="00D94449" w:rsidP="00D94449">
            <w:pPr>
              <w:widowControl w:val="0"/>
              <w:spacing w:after="0"/>
              <w:ind w:right="-13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14:paraId="47648511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530" w:type="pct"/>
            <w:gridSpan w:val="2"/>
          </w:tcPr>
          <w:p w14:paraId="7651C027" w14:textId="77777777" w:rsidR="00D94449" w:rsidRPr="00D94449" w:rsidRDefault="00D94449" w:rsidP="00D94449">
            <w:pPr>
              <w:spacing w:after="0"/>
              <w:ind w:left="-60" w:right="-8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819,5</w:t>
            </w:r>
          </w:p>
        </w:tc>
        <w:tc>
          <w:tcPr>
            <w:tcW w:w="508" w:type="pct"/>
            <w:gridSpan w:val="2"/>
          </w:tcPr>
          <w:p w14:paraId="39459659" w14:textId="77777777" w:rsidR="00D94449" w:rsidRPr="00D94449" w:rsidRDefault="00D94449" w:rsidP="00D94449">
            <w:pPr>
              <w:spacing w:after="0"/>
              <w:ind w:left="-58" w:right="-5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484" w:type="pct"/>
          </w:tcPr>
          <w:p w14:paraId="3DA5A9AD" w14:textId="77777777" w:rsidR="00D94449" w:rsidRPr="00D94449" w:rsidRDefault="00D94449" w:rsidP="00D94449">
            <w:pPr>
              <w:widowControl w:val="0"/>
              <w:spacing w:after="0"/>
              <w:ind w:left="-70" w:right="-55"/>
              <w:jc w:val="center"/>
              <w:rPr>
                <w:rFonts w:eastAsia="MS Mincho" w:cs="Times New Roman"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710" w:type="pct"/>
            <w:gridSpan w:val="3"/>
            <w:vMerge/>
          </w:tcPr>
          <w:p w14:paraId="176B276B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  <w:vMerge/>
          </w:tcPr>
          <w:p w14:paraId="04D3F7FC" w14:textId="77777777" w:rsidR="00D94449" w:rsidRPr="00D94449" w:rsidRDefault="00D94449" w:rsidP="00D9444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4449" w:rsidRPr="00D94449" w14:paraId="7692711B" w14:textId="77777777" w:rsidTr="004C0244">
        <w:trPr>
          <w:trHeight w:val="61"/>
        </w:trPr>
        <w:tc>
          <w:tcPr>
            <w:tcW w:w="741" w:type="pct"/>
          </w:tcPr>
          <w:p w14:paraId="0B78BA7C" w14:textId="77777777" w:rsidR="00D94449" w:rsidRPr="00D94449" w:rsidRDefault="00D94449" w:rsidP="00D94449">
            <w:pPr>
              <w:widowControl w:val="0"/>
              <w:spacing w:after="0"/>
              <w:ind w:right="-2112"/>
              <w:rPr>
                <w:rFonts w:eastAsia="MS Mincho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972" w:type="pct"/>
            <w:gridSpan w:val="2"/>
          </w:tcPr>
          <w:p w14:paraId="3196D55B" w14:textId="77777777" w:rsidR="00D94449" w:rsidRPr="00D94449" w:rsidRDefault="00D94449" w:rsidP="00D94449">
            <w:pPr>
              <w:widowControl w:val="0"/>
              <w:spacing w:after="0"/>
              <w:ind w:right="-2112"/>
              <w:rPr>
                <w:rFonts w:eastAsia="MS Mincho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b/>
                <w:sz w:val="24"/>
                <w:szCs w:val="24"/>
                <w:lang w:val="uk-UA" w:eastAsia="ru-RU"/>
              </w:rPr>
              <w:t xml:space="preserve">                  1517,5</w:t>
            </w:r>
          </w:p>
        </w:tc>
        <w:tc>
          <w:tcPr>
            <w:tcW w:w="510" w:type="pct"/>
          </w:tcPr>
          <w:p w14:paraId="0283C147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1379,5</w:t>
            </w:r>
          </w:p>
        </w:tc>
        <w:tc>
          <w:tcPr>
            <w:tcW w:w="509" w:type="pct"/>
            <w:gridSpan w:val="2"/>
          </w:tcPr>
          <w:p w14:paraId="139A83A2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D94449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70,0</w:t>
            </w:r>
          </w:p>
        </w:tc>
        <w:tc>
          <w:tcPr>
            <w:tcW w:w="509" w:type="pct"/>
            <w:gridSpan w:val="3"/>
          </w:tcPr>
          <w:p w14:paraId="29B8923B" w14:textId="77777777" w:rsidR="00D94449" w:rsidRPr="00D94449" w:rsidRDefault="00D94449" w:rsidP="00D94449">
            <w:pPr>
              <w:widowControl w:val="0"/>
              <w:spacing w:after="0"/>
              <w:jc w:val="center"/>
              <w:rPr>
                <w:rFonts w:eastAsia="MS Mincho" w:cs="Times New Roman"/>
                <w:b/>
                <w:sz w:val="24"/>
                <w:szCs w:val="24"/>
                <w:lang w:val="uk-UA" w:eastAsia="ru-RU"/>
              </w:rPr>
            </w:pPr>
            <w:r w:rsidRPr="00D94449">
              <w:rPr>
                <w:rFonts w:eastAsia="MS Mincho" w:cs="Times New Roman"/>
                <w:b/>
                <w:sz w:val="24"/>
                <w:szCs w:val="24"/>
                <w:lang w:val="uk-UA" w:eastAsia="ru-RU"/>
              </w:rPr>
              <w:t>68,0</w:t>
            </w:r>
          </w:p>
        </w:tc>
        <w:tc>
          <w:tcPr>
            <w:tcW w:w="694" w:type="pct"/>
          </w:tcPr>
          <w:p w14:paraId="28CEAAA4" w14:textId="77777777" w:rsidR="00D94449" w:rsidRPr="00D94449" w:rsidRDefault="00D94449" w:rsidP="00D94449">
            <w:pPr>
              <w:widowControl w:val="0"/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65" w:type="pct"/>
            <w:gridSpan w:val="3"/>
          </w:tcPr>
          <w:p w14:paraId="1B751AD0" w14:textId="77777777" w:rsidR="00D94449" w:rsidRPr="00D94449" w:rsidRDefault="00D94449" w:rsidP="00D94449">
            <w:pPr>
              <w:widowControl w:val="0"/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B0A06F3" w14:textId="77777777" w:rsidR="00D94449" w:rsidRPr="00D94449" w:rsidRDefault="00D94449" w:rsidP="00D94449">
      <w:pPr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  <w:lang w:val="uk-UA" w:eastAsia="uk-UA"/>
        </w:rPr>
      </w:pPr>
    </w:p>
    <w:p w14:paraId="7AB99913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3D327765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541B4385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34FA1963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79ACBD28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72E1B1B2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576AF7C4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3DB00F04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263CED1D" w14:textId="77777777" w:rsidR="00D94449" w:rsidRPr="00D94449" w:rsidRDefault="00D94449" w:rsidP="00D94449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</w:p>
    <w:p w14:paraId="0977EC03" w14:textId="77777777" w:rsidR="00F12C76" w:rsidRDefault="00F12C76" w:rsidP="006C0B77">
      <w:pPr>
        <w:spacing w:after="0"/>
        <w:ind w:firstLine="709"/>
        <w:jc w:val="both"/>
      </w:pPr>
    </w:p>
    <w:sectPr w:rsidR="00F12C76" w:rsidSect="00257B6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49"/>
    <w:rsid w:val="006C0B77"/>
    <w:rsid w:val="008242FF"/>
    <w:rsid w:val="00870751"/>
    <w:rsid w:val="00922C48"/>
    <w:rsid w:val="00B915B7"/>
    <w:rsid w:val="00D944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29F7"/>
  <w15:chartTrackingRefBased/>
  <w15:docId w15:val="{D5378B25-6724-4319-A569-58EA6007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2023-01-02T16:53:00Z</dcterms:created>
  <dcterms:modified xsi:type="dcterms:W3CDTF">2023-01-02T16:54:00Z</dcterms:modified>
</cp:coreProperties>
</file>