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D9" w:rsidRPr="009C18D9" w:rsidRDefault="009C18D9" w:rsidP="009C18D9">
      <w:pPr>
        <w:shd w:val="clear" w:color="auto" w:fill="FFFFFF"/>
        <w:spacing w:after="0" w:line="240" w:lineRule="auto"/>
        <w:ind w:left="7230"/>
        <w:rPr>
          <w:rFonts w:ascii="Times New Roman" w:eastAsia="Times New Roman" w:hAnsi="Times New Roman" w:cs="Times New Roman"/>
          <w:color w:val="333333"/>
          <w:sz w:val="28"/>
          <w:szCs w:val="28"/>
          <w:bdr w:val="none" w:sz="0" w:space="0" w:color="auto" w:frame="1"/>
          <w:lang w:val="uk-UA" w:eastAsia="uk-UA"/>
        </w:rPr>
      </w:pPr>
      <w:r w:rsidRPr="009C18D9">
        <w:rPr>
          <w:rFonts w:ascii="Times New Roman" w:eastAsia="Times New Roman" w:hAnsi="Times New Roman" w:cs="Times New Roman"/>
          <w:color w:val="333333"/>
          <w:sz w:val="28"/>
          <w:szCs w:val="28"/>
          <w:bdr w:val="none" w:sz="0" w:space="0" w:color="auto" w:frame="1"/>
          <w:lang w:val="uk-UA" w:eastAsia="uk-UA"/>
        </w:rPr>
        <w:t xml:space="preserve">Додаток 1 </w:t>
      </w:r>
    </w:p>
    <w:p w:rsidR="009C18D9" w:rsidRPr="009C18D9" w:rsidRDefault="009C18D9" w:rsidP="009C18D9">
      <w:pPr>
        <w:shd w:val="clear" w:color="auto" w:fill="FFFFFF"/>
        <w:spacing w:after="0" w:line="240" w:lineRule="auto"/>
        <w:ind w:left="7230"/>
        <w:rPr>
          <w:rFonts w:ascii="Times New Roman" w:eastAsia="Times New Roman" w:hAnsi="Times New Roman" w:cs="Times New Roman"/>
          <w:sz w:val="28"/>
          <w:szCs w:val="28"/>
          <w:lang w:val="uk-UA" w:eastAsia="uk-UA"/>
        </w:rPr>
      </w:pPr>
      <w:r w:rsidRPr="009C18D9">
        <w:rPr>
          <w:rFonts w:ascii="Times New Roman" w:eastAsia="Times New Roman" w:hAnsi="Times New Roman" w:cs="Times New Roman"/>
          <w:color w:val="333333"/>
          <w:sz w:val="28"/>
          <w:szCs w:val="28"/>
          <w:bdr w:val="none" w:sz="0" w:space="0" w:color="auto" w:frame="1"/>
          <w:lang w:val="uk-UA" w:eastAsia="uk-UA"/>
        </w:rPr>
        <w:t>До Програми</w:t>
      </w:r>
    </w:p>
    <w:p w:rsidR="009C18D9" w:rsidRPr="009C18D9" w:rsidRDefault="009C18D9" w:rsidP="009C18D9">
      <w:pPr>
        <w:tabs>
          <w:tab w:val="left" w:pos="7080"/>
        </w:tabs>
        <w:spacing w:after="160" w:line="259" w:lineRule="auto"/>
        <w:rPr>
          <w:rFonts w:ascii="Calibri" w:eastAsia="Calibri" w:hAnsi="Calibri" w:cs="Times New Roman"/>
          <w:kern w:val="2"/>
          <w:lang w:val="uk-UA"/>
          <w14:ligatures w14:val="standardContextual"/>
        </w:rPr>
      </w:pPr>
    </w:p>
    <w:p w:rsidR="009C18D9" w:rsidRPr="009C18D9" w:rsidRDefault="009C18D9" w:rsidP="009C18D9">
      <w:pPr>
        <w:tabs>
          <w:tab w:val="left" w:pos="7080"/>
        </w:tabs>
        <w:spacing w:after="160" w:line="259" w:lineRule="auto"/>
        <w:jc w:val="center"/>
        <w:rPr>
          <w:rFonts w:ascii="Times New Roman" w:eastAsia="Calibri" w:hAnsi="Times New Roman" w:cs="Times New Roman"/>
          <w:b/>
          <w:bCs/>
          <w:kern w:val="2"/>
          <w:sz w:val="32"/>
          <w:szCs w:val="32"/>
          <w:lang w:val="uk-UA"/>
          <w14:ligatures w14:val="standardContextual"/>
        </w:rPr>
      </w:pPr>
      <w:r w:rsidRPr="009C18D9">
        <w:rPr>
          <w:rFonts w:ascii="Times New Roman" w:eastAsia="Calibri" w:hAnsi="Times New Roman" w:cs="Times New Roman"/>
          <w:b/>
          <w:bCs/>
          <w:kern w:val="2"/>
          <w:sz w:val="32"/>
          <w:szCs w:val="32"/>
          <w:lang w:val="uk-UA"/>
          <w14:ligatures w14:val="standardContextual"/>
        </w:rPr>
        <w:t>ПАСПОРТ</w:t>
      </w:r>
    </w:p>
    <w:p w:rsidR="009C18D9" w:rsidRPr="009C18D9" w:rsidRDefault="009C18D9" w:rsidP="009C18D9">
      <w:pPr>
        <w:tabs>
          <w:tab w:val="left" w:pos="7080"/>
        </w:tabs>
        <w:spacing w:after="160" w:line="259" w:lineRule="auto"/>
        <w:jc w:val="center"/>
        <w:rPr>
          <w:rFonts w:ascii="Times New Roman" w:eastAsia="Calibri" w:hAnsi="Times New Roman" w:cs="Times New Roman"/>
          <w:b/>
          <w:bCs/>
          <w:kern w:val="2"/>
          <w:sz w:val="32"/>
          <w:szCs w:val="32"/>
          <w:lang w:val="uk-UA"/>
          <w14:ligatures w14:val="standardContextual"/>
        </w:rPr>
      </w:pPr>
      <w:r w:rsidRPr="009C18D9">
        <w:rPr>
          <w:rFonts w:ascii="Times New Roman" w:eastAsia="Times New Roman" w:hAnsi="Times New Roman" w:cs="Times New Roman"/>
          <w:b/>
          <w:sz w:val="28"/>
          <w:szCs w:val="28"/>
          <w:lang w:val="uk-UA" w:eastAsia="ru-RU"/>
        </w:rPr>
        <w:t>Програми «ТУРБОТА» по поліпшенню соціального захисту громадян на 2024 – 2026 роки</w:t>
      </w:r>
    </w:p>
    <w:tbl>
      <w:tblPr>
        <w:tblStyle w:val="a5"/>
        <w:tblW w:w="0" w:type="auto"/>
        <w:tblLook w:val="04A0" w:firstRow="1" w:lastRow="0" w:firstColumn="1" w:lastColumn="0" w:noHBand="0" w:noVBand="1"/>
      </w:tblPr>
      <w:tblGrid>
        <w:gridCol w:w="704"/>
        <w:gridCol w:w="4253"/>
        <w:gridCol w:w="4672"/>
      </w:tblGrid>
      <w:tr w:rsidR="009C18D9" w:rsidRPr="009C18D9" w:rsidTr="00E73A93">
        <w:trPr>
          <w:trHeight w:val="866"/>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bookmarkStart w:id="0" w:name="_Hlk153196409"/>
            <w:r w:rsidRPr="009C18D9">
              <w:rPr>
                <w:rFonts w:ascii="Times New Roman" w:eastAsia="Calibri" w:hAnsi="Times New Roman" w:cs="Times New Roman"/>
                <w:b/>
                <w:sz w:val="28"/>
                <w:szCs w:val="28"/>
              </w:rPr>
              <w:t xml:space="preserve">1. </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Ініціатор розроблення програми</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Великосеверинівська сільська рада</w:t>
            </w:r>
          </w:p>
        </w:tc>
      </w:tr>
      <w:tr w:rsidR="009C18D9" w:rsidRPr="009C18D9" w:rsidTr="00E73A93">
        <w:trPr>
          <w:trHeight w:val="818"/>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2.</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Розробник програми</w:t>
            </w:r>
          </w:p>
        </w:tc>
        <w:tc>
          <w:tcPr>
            <w:tcW w:w="4672" w:type="dxa"/>
          </w:tcPr>
          <w:p w:rsidR="009C18D9" w:rsidRPr="009C18D9" w:rsidRDefault="009C18D9" w:rsidP="009C18D9">
            <w:pPr>
              <w:jc w:val="both"/>
              <w:rPr>
                <w:rFonts w:ascii="Times New Roman" w:eastAsia="Calibri" w:hAnsi="Times New Roman" w:cs="Times New Roman"/>
                <w:sz w:val="28"/>
                <w:szCs w:val="28"/>
                <w:lang w:eastAsia="uk-UA"/>
              </w:rPr>
            </w:pPr>
            <w:r w:rsidRPr="009C18D9">
              <w:rPr>
                <w:rFonts w:ascii="Times New Roman" w:eastAsia="Calibri" w:hAnsi="Times New Roman" w:cs="Times New Roman"/>
                <w:sz w:val="28"/>
                <w:szCs w:val="28"/>
                <w:bdr w:val="none" w:sz="0" w:space="0" w:color="auto" w:frame="1"/>
                <w:lang w:eastAsia="uk-UA"/>
              </w:rPr>
              <w:t>відділ соціального захисту населення та охорони здоров’я Великосеверинівської сільської ради</w:t>
            </w:r>
          </w:p>
        </w:tc>
      </w:tr>
      <w:tr w:rsidR="009C18D9" w:rsidRPr="009C18D9" w:rsidTr="00E73A93">
        <w:trPr>
          <w:trHeight w:val="968"/>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3.</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Співрозробники програми</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Великосеверинівська сільська рада</w:t>
            </w:r>
          </w:p>
        </w:tc>
      </w:tr>
      <w:tr w:rsidR="009C18D9" w:rsidRPr="009C18D9" w:rsidTr="00E73A93">
        <w:trPr>
          <w:trHeight w:val="915"/>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4.</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 xml:space="preserve">Головний розпорядник коштів </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Великосеверинівська сільська рада, фінансовий відділ Великосеверинівської сільської ради</w:t>
            </w:r>
          </w:p>
        </w:tc>
      </w:tr>
      <w:tr w:rsidR="009C18D9" w:rsidRPr="009C18D9" w:rsidTr="00E73A93">
        <w:trPr>
          <w:trHeight w:val="1161"/>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5.</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Відповідальний виконавець програми</w:t>
            </w:r>
          </w:p>
        </w:tc>
        <w:tc>
          <w:tcPr>
            <w:tcW w:w="4672" w:type="dxa"/>
          </w:tcPr>
          <w:p w:rsidR="009C18D9" w:rsidRPr="009C18D9" w:rsidRDefault="009C18D9" w:rsidP="009C18D9">
            <w:pPr>
              <w:jc w:val="both"/>
              <w:rPr>
                <w:rFonts w:ascii="Times New Roman" w:eastAsia="Calibri" w:hAnsi="Times New Roman" w:cs="Times New Roman"/>
                <w:sz w:val="28"/>
                <w:szCs w:val="28"/>
                <w:lang w:eastAsia="uk-UA"/>
              </w:rPr>
            </w:pPr>
            <w:r w:rsidRPr="009C18D9">
              <w:rPr>
                <w:rFonts w:ascii="Times New Roman" w:eastAsia="Calibri" w:hAnsi="Times New Roman" w:cs="Times New Roman"/>
                <w:sz w:val="28"/>
                <w:szCs w:val="28"/>
              </w:rPr>
              <w:t xml:space="preserve">Великосеверинівська сільська рада, </w:t>
            </w:r>
            <w:bookmarkStart w:id="1" w:name="_Hlk152666373"/>
            <w:r w:rsidRPr="009C18D9">
              <w:rPr>
                <w:rFonts w:ascii="Times New Roman" w:eastAsia="Calibri" w:hAnsi="Times New Roman" w:cs="Times New Roman"/>
                <w:sz w:val="28"/>
                <w:szCs w:val="28"/>
              </w:rPr>
              <w:t>в</w:t>
            </w:r>
            <w:r w:rsidRPr="009C18D9">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bookmarkEnd w:id="1"/>
          </w:p>
        </w:tc>
      </w:tr>
      <w:tr w:rsidR="009C18D9" w:rsidRPr="009C18D9" w:rsidTr="00E73A93">
        <w:trPr>
          <w:trHeight w:val="1071"/>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6.</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Учасники програми</w:t>
            </w:r>
          </w:p>
        </w:tc>
        <w:tc>
          <w:tcPr>
            <w:tcW w:w="4672" w:type="dxa"/>
          </w:tcPr>
          <w:p w:rsidR="009C18D9" w:rsidRPr="009C18D9" w:rsidRDefault="009C18D9" w:rsidP="009C18D9">
            <w:pPr>
              <w:jc w:val="both"/>
              <w:rPr>
                <w:rFonts w:ascii="Times New Roman" w:eastAsia="Calibri" w:hAnsi="Times New Roman" w:cs="Times New Roman"/>
                <w:sz w:val="28"/>
                <w:szCs w:val="28"/>
                <w:lang w:eastAsia="uk-UA"/>
              </w:rPr>
            </w:pPr>
            <w:r w:rsidRPr="009C18D9">
              <w:rPr>
                <w:rFonts w:ascii="Times New Roman" w:eastAsia="Calibri" w:hAnsi="Times New Roman" w:cs="Times New Roman"/>
                <w:sz w:val="28"/>
                <w:szCs w:val="28"/>
              </w:rPr>
              <w:t>Великосеверинівська сільська рада, в</w:t>
            </w:r>
            <w:r w:rsidRPr="009C18D9">
              <w:rPr>
                <w:rFonts w:ascii="Times New Roman" w:eastAsia="Calibri" w:hAnsi="Times New Roman" w:cs="Times New Roman"/>
                <w:sz w:val="28"/>
                <w:szCs w:val="28"/>
                <w:bdr w:val="none" w:sz="0" w:space="0" w:color="auto" w:frame="1"/>
                <w:lang w:eastAsia="uk-UA"/>
              </w:rPr>
              <w:t>ідділ соціального захисту населення та охорони здоров’я Великосеверинівської сільської ради</w:t>
            </w:r>
          </w:p>
          <w:p w:rsidR="009C18D9" w:rsidRPr="009C18D9" w:rsidRDefault="009C18D9" w:rsidP="009C18D9">
            <w:pPr>
              <w:autoSpaceDE w:val="0"/>
              <w:autoSpaceDN w:val="0"/>
              <w:rPr>
                <w:rFonts w:ascii="Times New Roman" w:eastAsia="Calibri" w:hAnsi="Times New Roman" w:cs="Times New Roman"/>
                <w:sz w:val="28"/>
                <w:szCs w:val="28"/>
              </w:rPr>
            </w:pPr>
          </w:p>
        </w:tc>
      </w:tr>
      <w:tr w:rsidR="009C18D9" w:rsidRPr="009C18D9" w:rsidTr="00E73A93">
        <w:trPr>
          <w:trHeight w:val="808"/>
        </w:trPr>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7.</w:t>
            </w:r>
          </w:p>
        </w:tc>
        <w:tc>
          <w:tcPr>
            <w:tcW w:w="4253" w:type="dxa"/>
          </w:tcPr>
          <w:p w:rsidR="009C18D9" w:rsidRPr="009C18D9" w:rsidRDefault="009C18D9" w:rsidP="009C18D9">
            <w:pPr>
              <w:autoSpaceDE w:val="0"/>
              <w:autoSpaceDN w:val="0"/>
              <w:ind w:left="96" w:hanging="95"/>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Термін реалізації Програми</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2024-2026 роки</w:t>
            </w:r>
          </w:p>
        </w:tc>
      </w:tr>
      <w:tr w:rsidR="009C18D9" w:rsidRPr="009C18D9" w:rsidTr="00E73A93">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 xml:space="preserve">8. </w:t>
            </w: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Загальний обсяг фінансових ресурсів, необхідних для реалізації програми, всього</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 xml:space="preserve">900,00 </w:t>
            </w:r>
            <w:proofErr w:type="spellStart"/>
            <w:r w:rsidRPr="009C18D9">
              <w:rPr>
                <w:rFonts w:ascii="Times New Roman" w:eastAsia="Calibri" w:hAnsi="Times New Roman" w:cs="Times New Roman"/>
                <w:sz w:val="28"/>
                <w:szCs w:val="28"/>
              </w:rPr>
              <w:t>тис.грн</w:t>
            </w:r>
            <w:proofErr w:type="spellEnd"/>
            <w:r w:rsidRPr="009C18D9">
              <w:rPr>
                <w:rFonts w:ascii="Times New Roman" w:eastAsia="Calibri" w:hAnsi="Times New Roman" w:cs="Times New Roman"/>
                <w:sz w:val="28"/>
                <w:szCs w:val="28"/>
              </w:rPr>
              <w:t xml:space="preserve">. </w:t>
            </w:r>
          </w:p>
        </w:tc>
      </w:tr>
      <w:tr w:rsidR="009C18D9" w:rsidRPr="009C18D9" w:rsidTr="00E73A93">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p>
        </w:tc>
        <w:tc>
          <w:tcPr>
            <w:tcW w:w="4253" w:type="dxa"/>
          </w:tcPr>
          <w:p w:rsidR="009C18D9" w:rsidRPr="009C18D9" w:rsidRDefault="009C18D9" w:rsidP="009C18D9">
            <w:pPr>
              <w:autoSpaceDE w:val="0"/>
              <w:autoSpaceDN w:val="0"/>
              <w:jc w:val="both"/>
              <w:rPr>
                <w:rFonts w:ascii="Times New Roman" w:eastAsia="Calibri" w:hAnsi="Times New Roman" w:cs="Times New Roman"/>
                <w:b/>
                <w:sz w:val="28"/>
                <w:szCs w:val="28"/>
              </w:rPr>
            </w:pPr>
            <w:r w:rsidRPr="009C18D9">
              <w:rPr>
                <w:rFonts w:ascii="Times New Roman" w:eastAsia="Calibri" w:hAnsi="Times New Roman" w:cs="Times New Roman"/>
                <w:b/>
                <w:sz w:val="28"/>
                <w:szCs w:val="28"/>
              </w:rPr>
              <w:t>у тому числі:</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p>
        </w:tc>
      </w:tr>
      <w:tr w:rsidR="009C18D9" w:rsidRPr="009C18D9" w:rsidTr="00E73A93">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p>
        </w:tc>
        <w:tc>
          <w:tcPr>
            <w:tcW w:w="4253" w:type="dxa"/>
          </w:tcPr>
          <w:p w:rsidR="009C18D9" w:rsidRPr="009C18D9" w:rsidRDefault="009C18D9" w:rsidP="009C18D9">
            <w:pPr>
              <w:autoSpaceDE w:val="0"/>
              <w:autoSpaceDN w:val="0"/>
              <w:rPr>
                <w:rFonts w:ascii="Times New Roman" w:eastAsia="Calibri" w:hAnsi="Times New Roman" w:cs="Times New Roman"/>
                <w:b/>
                <w:sz w:val="28"/>
                <w:szCs w:val="28"/>
              </w:rPr>
            </w:pPr>
            <w:r w:rsidRPr="009C18D9">
              <w:rPr>
                <w:rFonts w:ascii="Times New Roman" w:eastAsia="Calibri" w:hAnsi="Times New Roman" w:cs="Times New Roman"/>
                <w:b/>
                <w:sz w:val="28"/>
                <w:szCs w:val="28"/>
              </w:rPr>
              <w:t xml:space="preserve">коштів місцевого бюджету </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 xml:space="preserve">900,00 </w:t>
            </w:r>
            <w:proofErr w:type="spellStart"/>
            <w:r w:rsidRPr="009C18D9">
              <w:rPr>
                <w:rFonts w:ascii="Times New Roman" w:eastAsia="Calibri" w:hAnsi="Times New Roman" w:cs="Times New Roman"/>
                <w:sz w:val="28"/>
                <w:szCs w:val="28"/>
              </w:rPr>
              <w:t>тис.грн</w:t>
            </w:r>
            <w:proofErr w:type="spellEnd"/>
            <w:r w:rsidRPr="009C18D9">
              <w:rPr>
                <w:rFonts w:ascii="Times New Roman" w:eastAsia="Calibri" w:hAnsi="Times New Roman" w:cs="Times New Roman"/>
                <w:sz w:val="28"/>
                <w:szCs w:val="28"/>
              </w:rPr>
              <w:t>.</w:t>
            </w:r>
          </w:p>
        </w:tc>
      </w:tr>
      <w:tr w:rsidR="009C18D9" w:rsidRPr="009C18D9" w:rsidTr="00E73A93">
        <w:tc>
          <w:tcPr>
            <w:tcW w:w="704" w:type="dxa"/>
          </w:tcPr>
          <w:p w:rsidR="009C18D9" w:rsidRPr="009C18D9" w:rsidRDefault="009C18D9" w:rsidP="009C18D9">
            <w:pPr>
              <w:autoSpaceDE w:val="0"/>
              <w:autoSpaceDN w:val="0"/>
              <w:jc w:val="both"/>
              <w:rPr>
                <w:rFonts w:ascii="Times New Roman" w:eastAsia="Calibri" w:hAnsi="Times New Roman" w:cs="Times New Roman"/>
                <w:b/>
                <w:sz w:val="28"/>
                <w:szCs w:val="28"/>
              </w:rPr>
            </w:pPr>
          </w:p>
        </w:tc>
        <w:tc>
          <w:tcPr>
            <w:tcW w:w="4253" w:type="dxa"/>
          </w:tcPr>
          <w:p w:rsidR="009C18D9" w:rsidRPr="009C18D9" w:rsidRDefault="009C18D9" w:rsidP="009C18D9">
            <w:pPr>
              <w:autoSpaceDE w:val="0"/>
              <w:autoSpaceDN w:val="0"/>
              <w:rPr>
                <w:rFonts w:ascii="Times New Roman" w:eastAsia="Calibri" w:hAnsi="Times New Roman" w:cs="Times New Roman"/>
                <w:b/>
                <w:sz w:val="28"/>
                <w:szCs w:val="28"/>
              </w:rPr>
            </w:pPr>
            <w:r w:rsidRPr="009C18D9">
              <w:rPr>
                <w:rFonts w:ascii="Times New Roman" w:eastAsia="Calibri" w:hAnsi="Times New Roman" w:cs="Times New Roman"/>
                <w:b/>
                <w:sz w:val="28"/>
                <w:szCs w:val="28"/>
              </w:rPr>
              <w:t xml:space="preserve">коштів інших джерел </w:t>
            </w:r>
          </w:p>
        </w:tc>
        <w:tc>
          <w:tcPr>
            <w:tcW w:w="4672" w:type="dxa"/>
          </w:tcPr>
          <w:p w:rsidR="009C18D9" w:rsidRPr="009C18D9" w:rsidRDefault="009C18D9" w:rsidP="009C18D9">
            <w:pPr>
              <w:autoSpaceDE w:val="0"/>
              <w:autoSpaceDN w:val="0"/>
              <w:rPr>
                <w:rFonts w:ascii="Times New Roman" w:eastAsia="Calibri" w:hAnsi="Times New Roman" w:cs="Times New Roman"/>
                <w:sz w:val="28"/>
                <w:szCs w:val="28"/>
              </w:rPr>
            </w:pPr>
            <w:r w:rsidRPr="009C18D9">
              <w:rPr>
                <w:rFonts w:ascii="Times New Roman" w:eastAsia="Calibri" w:hAnsi="Times New Roman" w:cs="Times New Roman"/>
                <w:sz w:val="28"/>
                <w:szCs w:val="28"/>
              </w:rPr>
              <w:t xml:space="preserve">- </w:t>
            </w:r>
          </w:p>
        </w:tc>
      </w:tr>
      <w:bookmarkEnd w:id="0"/>
    </w:tbl>
    <w:p w:rsidR="009C18D9" w:rsidRPr="009C18D9" w:rsidRDefault="009C18D9" w:rsidP="009C18D9">
      <w:pPr>
        <w:tabs>
          <w:tab w:val="left" w:pos="7080"/>
        </w:tabs>
        <w:spacing w:after="160" w:line="259" w:lineRule="auto"/>
        <w:jc w:val="both"/>
        <w:rPr>
          <w:rFonts w:ascii="Times New Roman" w:eastAsia="Calibri" w:hAnsi="Times New Roman" w:cs="Times New Roman"/>
          <w:b/>
          <w:bCs/>
          <w:kern w:val="2"/>
          <w:sz w:val="28"/>
          <w:szCs w:val="28"/>
          <w:lang w:val="uk-UA"/>
          <w14:ligatures w14:val="standardContextual"/>
        </w:rPr>
      </w:pPr>
    </w:p>
    <w:p w:rsidR="009C18D9" w:rsidRPr="009C18D9" w:rsidRDefault="009C18D9" w:rsidP="009C18D9">
      <w:pPr>
        <w:pBdr>
          <w:bottom w:val="single" w:sz="12" w:space="1" w:color="auto"/>
        </w:pBdr>
        <w:tabs>
          <w:tab w:val="left" w:pos="7080"/>
        </w:tabs>
        <w:spacing w:after="160" w:line="259" w:lineRule="auto"/>
        <w:jc w:val="both"/>
        <w:rPr>
          <w:rFonts w:ascii="Times New Roman" w:eastAsia="Calibri" w:hAnsi="Times New Roman" w:cs="Times New Roman"/>
          <w:b/>
          <w:bCs/>
          <w:kern w:val="2"/>
          <w:sz w:val="28"/>
          <w:szCs w:val="28"/>
          <w:lang w:val="uk-UA"/>
          <w14:ligatures w14:val="standardContextual"/>
        </w:rPr>
      </w:pPr>
    </w:p>
    <w:p w:rsidR="009C18D9" w:rsidRPr="009C18D9" w:rsidRDefault="009C18D9" w:rsidP="009C18D9">
      <w:pPr>
        <w:spacing w:after="0" w:line="240" w:lineRule="auto"/>
        <w:jc w:val="both"/>
        <w:rPr>
          <w:rFonts w:ascii="Times New Roman" w:eastAsia="Times New Roman" w:hAnsi="Times New Roman" w:cs="Times New Roman"/>
          <w:sz w:val="20"/>
          <w:szCs w:val="20"/>
          <w:lang w:val="uk-UA" w:eastAsia="uk-UA"/>
        </w:rPr>
      </w:pPr>
      <w:r w:rsidRPr="009C18D9">
        <w:rPr>
          <w:rFonts w:ascii="Times New Roman" w:eastAsia="Times New Roman" w:hAnsi="Times New Roman" w:cs="Times New Roman"/>
          <w:sz w:val="20"/>
          <w:szCs w:val="20"/>
          <w:vertAlign w:val="superscript"/>
          <w:lang w:val="uk-UA" w:eastAsia="uk-UA"/>
        </w:rPr>
        <w:t>1</w:t>
      </w:r>
      <w:r w:rsidRPr="009C18D9">
        <w:rPr>
          <w:rFonts w:ascii="Times New Roman" w:eastAsia="Times New Roman" w:hAnsi="Times New Roman" w:cs="Times New Roman"/>
          <w:sz w:val="20"/>
          <w:szCs w:val="20"/>
          <w:lang w:val="uk-UA" w:eastAsia="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9C18D9" w:rsidRPr="009C18D9" w:rsidRDefault="009C18D9" w:rsidP="009C18D9">
      <w:pPr>
        <w:spacing w:after="0" w:line="240" w:lineRule="auto"/>
        <w:jc w:val="both"/>
        <w:rPr>
          <w:rFonts w:ascii="Times New Roman" w:eastAsia="Times New Roman" w:hAnsi="Times New Roman" w:cs="Times New Roman"/>
          <w:sz w:val="20"/>
          <w:szCs w:val="20"/>
          <w:lang w:val="uk-UA" w:eastAsia="uk-UA"/>
        </w:rPr>
      </w:pPr>
    </w:p>
    <w:p w:rsidR="009C18D9" w:rsidRPr="009C18D9" w:rsidRDefault="009C18D9" w:rsidP="009C18D9">
      <w:pPr>
        <w:spacing w:after="0" w:line="240" w:lineRule="auto"/>
        <w:jc w:val="both"/>
        <w:rPr>
          <w:rFonts w:ascii="Times New Roman" w:eastAsia="Times New Roman" w:hAnsi="Times New Roman" w:cs="Times New Roman"/>
          <w:sz w:val="20"/>
          <w:szCs w:val="20"/>
          <w:lang w:val="uk-UA" w:eastAsia="uk-UA"/>
        </w:rPr>
      </w:pPr>
    </w:p>
    <w:p w:rsidR="009C18D9" w:rsidRPr="009C18D9" w:rsidRDefault="009C18D9" w:rsidP="009C18D9">
      <w:pPr>
        <w:spacing w:after="0" w:line="240" w:lineRule="auto"/>
        <w:jc w:val="both"/>
        <w:rPr>
          <w:rFonts w:ascii="Times New Roman" w:eastAsia="Times New Roman" w:hAnsi="Times New Roman" w:cs="Times New Roman"/>
          <w:sz w:val="20"/>
          <w:szCs w:val="20"/>
          <w:lang w:val="uk-UA" w:eastAsia="uk-UA"/>
        </w:rPr>
      </w:pPr>
    </w:p>
    <w:p w:rsidR="009C18D9" w:rsidRPr="009C18D9" w:rsidRDefault="009C18D9" w:rsidP="009C18D9">
      <w:pPr>
        <w:spacing w:after="0" w:line="240" w:lineRule="auto"/>
        <w:jc w:val="both"/>
        <w:rPr>
          <w:rFonts w:ascii="Times New Roman" w:eastAsia="Times New Roman" w:hAnsi="Times New Roman" w:cs="Times New Roman"/>
          <w:sz w:val="20"/>
          <w:szCs w:val="20"/>
          <w:lang w:val="uk-UA" w:eastAsia="uk-UA"/>
        </w:rPr>
      </w:pPr>
    </w:p>
    <w:p w:rsidR="009C18D9" w:rsidRPr="009C18D9" w:rsidRDefault="009C18D9" w:rsidP="009C18D9">
      <w:pPr>
        <w:spacing w:after="0" w:line="240" w:lineRule="auto"/>
        <w:rPr>
          <w:rFonts w:ascii="Times New Roman" w:eastAsia="Calibri" w:hAnsi="Times New Roman" w:cs="Times New Roman"/>
          <w:b/>
          <w:bCs/>
          <w:iCs/>
          <w:sz w:val="28"/>
          <w:szCs w:val="28"/>
          <w:lang w:val="uk-UA"/>
        </w:rPr>
      </w:pPr>
    </w:p>
    <w:p w:rsidR="009C18D9" w:rsidRPr="009C18D9" w:rsidRDefault="009C18D9" w:rsidP="009C18D9">
      <w:pPr>
        <w:spacing w:after="0" w:line="240" w:lineRule="auto"/>
        <w:rPr>
          <w:rFonts w:ascii="Times New Roman" w:eastAsia="Calibri" w:hAnsi="Times New Roman" w:cs="Times New Roman"/>
          <w:b/>
          <w:bCs/>
          <w:iCs/>
          <w:sz w:val="28"/>
          <w:szCs w:val="28"/>
          <w:lang w:val="uk-UA"/>
        </w:rPr>
      </w:pPr>
    </w:p>
    <w:p w:rsidR="009C18D9" w:rsidRPr="009C18D9" w:rsidRDefault="009C18D9" w:rsidP="009C18D9">
      <w:pPr>
        <w:spacing w:after="0" w:line="240" w:lineRule="auto"/>
        <w:rPr>
          <w:rFonts w:ascii="Times New Roman" w:eastAsia="Calibri" w:hAnsi="Times New Roman" w:cs="Times New Roman"/>
          <w:b/>
          <w:bCs/>
          <w:iCs/>
          <w:sz w:val="28"/>
          <w:szCs w:val="28"/>
          <w:lang w:val="uk-UA"/>
        </w:rPr>
      </w:pPr>
      <w:r w:rsidRPr="009C18D9">
        <w:rPr>
          <w:rFonts w:ascii="Times New Roman" w:eastAsia="Calibri" w:hAnsi="Times New Roman" w:cs="Times New Roman"/>
          <w:b/>
          <w:bCs/>
          <w:iCs/>
          <w:sz w:val="28"/>
          <w:szCs w:val="28"/>
          <w:lang w:val="uk-UA"/>
        </w:rPr>
        <w:t xml:space="preserve">           </w:t>
      </w:r>
    </w:p>
    <w:p w:rsidR="009C18D9" w:rsidRPr="009C18D9" w:rsidRDefault="009C18D9" w:rsidP="009C18D9">
      <w:pPr>
        <w:spacing w:after="0" w:line="240" w:lineRule="auto"/>
        <w:rPr>
          <w:rFonts w:ascii="Times New Roman" w:eastAsia="Calibri" w:hAnsi="Times New Roman" w:cs="Times New Roman"/>
          <w:b/>
          <w:bCs/>
          <w:iCs/>
          <w:sz w:val="28"/>
          <w:szCs w:val="28"/>
          <w:lang w:val="uk-UA"/>
        </w:rPr>
      </w:pPr>
    </w:p>
    <w:p w:rsidR="009C18D9" w:rsidRPr="009C18D9" w:rsidRDefault="009C18D9" w:rsidP="009C18D9">
      <w:pPr>
        <w:spacing w:after="0" w:line="240" w:lineRule="auto"/>
        <w:rPr>
          <w:rFonts w:ascii="Times New Roman" w:eastAsia="Calibri" w:hAnsi="Times New Roman" w:cs="Times New Roman"/>
          <w:b/>
          <w:bCs/>
          <w:iCs/>
          <w:sz w:val="28"/>
          <w:szCs w:val="28"/>
          <w:lang w:val="uk-UA"/>
        </w:rPr>
      </w:pPr>
      <w:r w:rsidRPr="009C18D9">
        <w:rPr>
          <w:rFonts w:ascii="Times New Roman" w:eastAsia="Calibri" w:hAnsi="Times New Roman" w:cs="Times New Roman"/>
          <w:b/>
          <w:bCs/>
          <w:iCs/>
          <w:sz w:val="28"/>
          <w:szCs w:val="28"/>
          <w:lang w:val="uk-UA"/>
        </w:rPr>
        <w:t>1.Визначення проблеми, на розв’язання якої спрямована Програма</w:t>
      </w:r>
    </w:p>
    <w:p w:rsidR="009C18D9" w:rsidRPr="009C18D9" w:rsidRDefault="009C18D9" w:rsidP="009C18D9">
      <w:pPr>
        <w:spacing w:after="0" w:line="240" w:lineRule="auto"/>
        <w:jc w:val="center"/>
        <w:rPr>
          <w:rFonts w:ascii="Times New Roman" w:eastAsia="Calibri" w:hAnsi="Times New Roman" w:cs="Times New Roman"/>
          <w:b/>
          <w:bCs/>
          <w:iCs/>
          <w:sz w:val="28"/>
          <w:szCs w:val="28"/>
          <w:lang w:val="uk-UA"/>
        </w:rPr>
      </w:pPr>
    </w:p>
    <w:p w:rsidR="009C18D9" w:rsidRPr="009C18D9" w:rsidRDefault="009C18D9" w:rsidP="009C18D9">
      <w:pPr>
        <w:widowControl w:val="0"/>
        <w:suppressAutoHyphens/>
        <w:spacing w:after="160" w:line="240" w:lineRule="auto"/>
        <w:jc w:val="both"/>
        <w:rPr>
          <w:rFonts w:ascii="Times New Roman" w:eastAsia="Times New Roman" w:hAnsi="Times New Roman" w:cs="Times New Roman"/>
          <w:sz w:val="32"/>
          <w:szCs w:val="32"/>
          <w:lang w:val="uk-UA" w:eastAsia="uk-UA"/>
        </w:rPr>
      </w:pPr>
      <w:r w:rsidRPr="009C18D9">
        <w:rPr>
          <w:rFonts w:ascii="Times New Roman" w:eastAsia="Calibri" w:hAnsi="Times New Roman" w:cs="Times New Roman"/>
          <w:b/>
          <w:bCs/>
          <w:iCs/>
          <w:kern w:val="2"/>
          <w:sz w:val="28"/>
          <w:szCs w:val="28"/>
          <w:lang w:val="uk-UA"/>
          <w14:ligatures w14:val="standardContextual"/>
        </w:rPr>
        <w:tab/>
      </w:r>
      <w:r w:rsidRPr="009C18D9">
        <w:rPr>
          <w:rFonts w:ascii="Times New Roman" w:eastAsia="Times New Roman" w:hAnsi="Times New Roman" w:cs="Times New Roman"/>
          <w:sz w:val="28"/>
          <w:szCs w:val="28"/>
          <w:lang w:val="uk-UA" w:eastAsia="uk-UA"/>
        </w:rPr>
        <w:t xml:space="preserve">На сьогоднішній день цілий ряд причин визнається визначальними у скрутному становищі доволі великої кількості громадян в Україні та у зв’язку з військовою агресією Російської Федерації проти України посилюються негативні наслідки економічних проблем, які відчувають насамперед незахищені верстви населення. Частково ці причини можуть і мають бути усунені завдяки діям на місцевому рівні, тим більше, враховуючи кількість охоплених негативними наслідками вразливих груп населення.  </w:t>
      </w:r>
      <w:r w:rsidRPr="009C18D9">
        <w:rPr>
          <w:rFonts w:ascii="Times New Roman" w:eastAsia="Times New Roman" w:hAnsi="Times New Roman" w:cs="Times New Roman"/>
          <w:sz w:val="32"/>
          <w:szCs w:val="32"/>
          <w:lang w:val="uk-UA" w:eastAsia="uk-UA"/>
        </w:rPr>
        <w:t xml:space="preserve">   </w:t>
      </w:r>
    </w:p>
    <w:p w:rsidR="009C18D9" w:rsidRPr="009C18D9" w:rsidRDefault="009C18D9" w:rsidP="009C18D9">
      <w:pPr>
        <w:widowControl w:val="0"/>
        <w:suppressAutoHyphens/>
        <w:spacing w:after="160" w:line="240" w:lineRule="auto"/>
        <w:jc w:val="both"/>
        <w:rPr>
          <w:rFonts w:ascii="Times New Roman" w:eastAsia="Calibri" w:hAnsi="Times New Roman" w:cs="Times New Roman"/>
          <w:iCs/>
          <w:kern w:val="2"/>
          <w:sz w:val="28"/>
          <w:szCs w:val="28"/>
          <w:lang w:val="uk-UA"/>
          <w14:ligatures w14:val="standardContextual"/>
        </w:rPr>
      </w:pPr>
      <w:r w:rsidRPr="009C18D9">
        <w:rPr>
          <w:rFonts w:ascii="Times New Roman" w:eastAsia="Times New Roman" w:hAnsi="Times New Roman" w:cs="Times New Roman"/>
          <w:b/>
          <w:sz w:val="32"/>
          <w:szCs w:val="32"/>
          <w:lang w:val="uk-UA" w:eastAsia="uk-UA"/>
        </w:rPr>
        <w:t xml:space="preserve"> </w:t>
      </w:r>
      <w:r w:rsidRPr="009C18D9">
        <w:rPr>
          <w:rFonts w:ascii="Times New Roman" w:eastAsia="Calibri" w:hAnsi="Times New Roman" w:cs="Times New Roman"/>
          <w:iCs/>
          <w:kern w:val="2"/>
          <w:sz w:val="28"/>
          <w:szCs w:val="28"/>
          <w:lang w:val="uk-UA"/>
          <w14:ligatures w14:val="standardContextual"/>
        </w:rPr>
        <w:t xml:space="preserve">  </w:t>
      </w:r>
      <w:r w:rsidRPr="009C18D9">
        <w:rPr>
          <w:rFonts w:ascii="Times New Roman" w:eastAsia="Calibri" w:hAnsi="Times New Roman" w:cs="Times New Roman"/>
          <w:iCs/>
          <w:kern w:val="2"/>
          <w:sz w:val="28"/>
          <w:szCs w:val="28"/>
          <w:lang w:val="uk-UA"/>
          <w14:ligatures w14:val="standardContextual"/>
        </w:rPr>
        <w:tab/>
        <w:t>Програма «Турбота» по поліпшенню соціального захисту громадян на 2024 – 2026 роки розроблена відповідно до Закону України «Про місцеве самоврядування в Україні», Закону України «Про основи соціальної захищеності інвалідів в Україні», Закону України «Про реабілітацію інвалідів в Україні», Закону України «Про основні засади соціального захисту ветеранів праці та інших громадян похилого віку в Україні», Постанови Кабінету Міністрів України від 31 січня 2007 року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та інших законодавчо-нормативних актів, що стосуються соціального захисту різних категорій громадян і визначає комплекс заходів розробка і реалізація яких здійснюється на місцевому рівні з метою вдосконалення виконання завдань по соціальному захисту населення територіальної громади.</w:t>
      </w:r>
    </w:p>
    <w:p w:rsidR="009C18D9" w:rsidRPr="009C18D9" w:rsidRDefault="009C18D9" w:rsidP="009C18D9">
      <w:pPr>
        <w:widowControl w:val="0"/>
        <w:suppressAutoHyphens/>
        <w:spacing w:after="160" w:line="240" w:lineRule="auto"/>
        <w:ind w:firstLine="708"/>
        <w:jc w:val="both"/>
        <w:rPr>
          <w:rFonts w:ascii="Times New Roman" w:eastAsia="Times New Roman" w:hAnsi="Times New Roman" w:cs="Times New Roman"/>
          <w:sz w:val="28"/>
          <w:szCs w:val="28"/>
          <w:lang w:val="uk-UA" w:eastAsia="uk-UA"/>
        </w:rPr>
      </w:pPr>
      <w:r w:rsidRPr="009C18D9">
        <w:rPr>
          <w:rFonts w:ascii="Times New Roman" w:eastAsia="Calibri" w:hAnsi="Times New Roman" w:cs="Times New Roman"/>
          <w:iCs/>
          <w:kern w:val="2"/>
          <w:sz w:val="28"/>
          <w:szCs w:val="28"/>
          <w:lang w:val="uk-UA"/>
          <w14:ligatures w14:val="standardContextual"/>
        </w:rPr>
        <w:t>В основу розробки Програми «Турбота» по поліпшенню соціального захисту громадян на 2024 – 2026 роки покладено системний аналіз законодавства України, що формує соціальну політику. При розробці даної Програми враховувались наступні обставини:</w:t>
      </w:r>
    </w:p>
    <w:p w:rsidR="009C18D9" w:rsidRPr="009C18D9" w:rsidRDefault="009C18D9" w:rsidP="009C18D9">
      <w:pPr>
        <w:spacing w:after="0" w:line="240" w:lineRule="auto"/>
        <w:ind w:firstLine="708"/>
        <w:jc w:val="both"/>
        <w:rPr>
          <w:rFonts w:ascii="Times New Roman" w:eastAsia="Calibri" w:hAnsi="Times New Roman" w:cs="Times New Roman"/>
          <w:iCs/>
          <w:sz w:val="28"/>
          <w:szCs w:val="28"/>
          <w:lang w:val="uk-UA"/>
        </w:rPr>
      </w:pPr>
      <w:r w:rsidRPr="009C18D9">
        <w:rPr>
          <w:rFonts w:ascii="Times New Roman" w:eastAsia="Calibri" w:hAnsi="Times New Roman" w:cs="Times New Roman"/>
          <w:iCs/>
          <w:sz w:val="28"/>
          <w:szCs w:val="28"/>
          <w:lang w:val="uk-UA"/>
        </w:rPr>
        <w:t>-</w:t>
      </w:r>
      <w:r w:rsidRPr="009C18D9">
        <w:rPr>
          <w:rFonts w:ascii="Times New Roman" w:eastAsia="Calibri" w:hAnsi="Times New Roman" w:cs="Times New Roman"/>
          <w:iCs/>
          <w:sz w:val="28"/>
          <w:szCs w:val="28"/>
          <w:lang w:val="uk-UA"/>
        </w:rPr>
        <w:tab/>
        <w:t>надання фінансової матеріальної допомоги для підтримки соціально -незахищених громадян;</w:t>
      </w:r>
    </w:p>
    <w:p w:rsidR="009C18D9" w:rsidRPr="009C18D9" w:rsidRDefault="009C18D9" w:rsidP="009C18D9">
      <w:pPr>
        <w:spacing w:after="0" w:line="240" w:lineRule="auto"/>
        <w:ind w:firstLine="708"/>
        <w:jc w:val="both"/>
        <w:rPr>
          <w:rFonts w:ascii="Times New Roman" w:eastAsia="Calibri" w:hAnsi="Times New Roman" w:cs="Times New Roman"/>
          <w:iCs/>
          <w:sz w:val="28"/>
          <w:szCs w:val="28"/>
          <w:lang w:val="uk-UA"/>
        </w:rPr>
      </w:pPr>
      <w:r w:rsidRPr="009C18D9">
        <w:rPr>
          <w:rFonts w:ascii="Times New Roman" w:eastAsia="Calibri" w:hAnsi="Times New Roman" w:cs="Times New Roman"/>
          <w:iCs/>
          <w:sz w:val="28"/>
          <w:szCs w:val="28"/>
          <w:lang w:val="uk-UA"/>
        </w:rPr>
        <w:t>-</w:t>
      </w:r>
      <w:r w:rsidRPr="009C18D9">
        <w:rPr>
          <w:rFonts w:ascii="Times New Roman" w:eastAsia="Calibri" w:hAnsi="Times New Roman" w:cs="Times New Roman"/>
          <w:iCs/>
          <w:sz w:val="28"/>
          <w:szCs w:val="28"/>
          <w:lang w:val="uk-UA"/>
        </w:rPr>
        <w:tab/>
        <w:t>необхідність збереження пріоритетних напрямків соціального захисту, що дозволять реально підтримувати життєдіяльність незахищених верств населення;</w:t>
      </w:r>
    </w:p>
    <w:p w:rsidR="009C18D9" w:rsidRPr="009C18D9" w:rsidRDefault="009C18D9" w:rsidP="009C18D9">
      <w:pPr>
        <w:spacing w:after="0" w:line="240" w:lineRule="auto"/>
        <w:ind w:firstLine="708"/>
        <w:jc w:val="both"/>
        <w:rPr>
          <w:rFonts w:ascii="Times New Roman" w:eastAsia="Calibri" w:hAnsi="Times New Roman" w:cs="Times New Roman"/>
          <w:iCs/>
          <w:sz w:val="28"/>
          <w:szCs w:val="28"/>
          <w:lang w:val="uk-UA"/>
        </w:rPr>
      </w:pPr>
      <w:r w:rsidRPr="009C18D9">
        <w:rPr>
          <w:rFonts w:ascii="Times New Roman" w:eastAsia="Calibri" w:hAnsi="Times New Roman" w:cs="Times New Roman"/>
          <w:iCs/>
          <w:sz w:val="28"/>
          <w:szCs w:val="28"/>
          <w:lang w:val="uk-UA"/>
        </w:rPr>
        <w:t>-</w:t>
      </w:r>
      <w:r w:rsidRPr="009C18D9">
        <w:rPr>
          <w:rFonts w:ascii="Times New Roman" w:eastAsia="Calibri" w:hAnsi="Times New Roman" w:cs="Times New Roman"/>
          <w:iCs/>
          <w:sz w:val="28"/>
          <w:szCs w:val="28"/>
          <w:lang w:val="uk-UA"/>
        </w:rPr>
        <w:tab/>
        <w:t>підтримка осіб з інвалідністю, ветеранів війни, дітей з інвалідністю, ліквідаторів аварії на ЧАЕС, малозабезпечених та багатодітних сімей.</w:t>
      </w:r>
    </w:p>
    <w:p w:rsidR="009C18D9" w:rsidRPr="009C18D9" w:rsidRDefault="009C18D9" w:rsidP="009C18D9">
      <w:pPr>
        <w:spacing w:after="0" w:line="240" w:lineRule="auto"/>
        <w:ind w:firstLine="708"/>
        <w:jc w:val="both"/>
        <w:rPr>
          <w:rFonts w:ascii="Times New Roman" w:eastAsia="Calibri" w:hAnsi="Times New Roman" w:cs="Times New Roman"/>
          <w:iCs/>
          <w:sz w:val="28"/>
          <w:szCs w:val="28"/>
          <w:lang w:val="uk-UA"/>
        </w:rPr>
      </w:pPr>
    </w:p>
    <w:p w:rsidR="009C18D9" w:rsidRPr="009C18D9" w:rsidRDefault="009C18D9" w:rsidP="009C18D9">
      <w:pPr>
        <w:jc w:val="center"/>
        <w:rPr>
          <w:rFonts w:ascii="Times New Roman" w:eastAsia="Calibri" w:hAnsi="Times New Roman" w:cs="Times New Roman"/>
          <w:b/>
          <w:bCs/>
          <w:iCs/>
          <w:sz w:val="28"/>
          <w:szCs w:val="28"/>
          <w:lang w:val="uk-UA"/>
        </w:rPr>
      </w:pPr>
      <w:r w:rsidRPr="009C18D9">
        <w:rPr>
          <w:rFonts w:ascii="Times New Roman" w:eastAsia="Calibri" w:hAnsi="Times New Roman" w:cs="Times New Roman"/>
          <w:b/>
          <w:bCs/>
          <w:iCs/>
          <w:sz w:val="28"/>
          <w:szCs w:val="28"/>
          <w:lang w:val="uk-UA"/>
        </w:rPr>
        <w:t>2. Мета  Програми</w:t>
      </w:r>
    </w:p>
    <w:p w:rsidR="009C18D9" w:rsidRPr="009C18D9" w:rsidRDefault="009C18D9" w:rsidP="009C18D9">
      <w:pPr>
        <w:spacing w:line="240" w:lineRule="auto"/>
        <w:jc w:val="both"/>
        <w:rPr>
          <w:rFonts w:ascii="Times New Roman" w:eastAsia="Calibri" w:hAnsi="Times New Roman" w:cs="Times New Roman"/>
          <w:sz w:val="28"/>
          <w:szCs w:val="28"/>
          <w:lang w:val="uk-UA"/>
        </w:rPr>
      </w:pPr>
      <w:r w:rsidRPr="009C18D9">
        <w:rPr>
          <w:rFonts w:ascii="Times New Roman" w:eastAsia="Calibri" w:hAnsi="Times New Roman" w:cs="Times New Roman"/>
          <w:sz w:val="28"/>
          <w:szCs w:val="28"/>
          <w:lang w:val="uk-UA"/>
        </w:rPr>
        <w:t xml:space="preserve">    </w:t>
      </w:r>
      <w:r w:rsidRPr="009C18D9">
        <w:rPr>
          <w:rFonts w:ascii="Times New Roman" w:eastAsia="Calibri" w:hAnsi="Times New Roman" w:cs="Times New Roman"/>
          <w:sz w:val="28"/>
          <w:szCs w:val="28"/>
          <w:lang w:val="uk-UA"/>
        </w:rPr>
        <w:tab/>
        <w:t>Метою програми є вирішення невідкладних питань організаційно - правового та інформаційного забезпечення, матеріального, соціально-побутового обслуговування малозабезпечених жителів громади та посилення соціальних гарантій захисту соціально незахищених громадян, здійснення конкретних заходів, спрямованих на забезпечення права кожного громадян достатній життєвий рівень, надання матеріальної допомоги  на вирішення матеріально-побутових питань,  а саме допомога важко хворим громадянам, багатодітним і неповним сім’ям, ветеранам війни, особам з обмеженими фізичними можливостями, у тому числі особам з інвалідністю, дітям з інвалідністю, іншим громадянам, які потребують допомоги та соціальної підтримки.</w:t>
      </w:r>
    </w:p>
    <w:p w:rsidR="009C18D9" w:rsidRPr="009C18D9" w:rsidRDefault="009C18D9" w:rsidP="009C18D9">
      <w:pPr>
        <w:spacing w:after="0" w:line="240" w:lineRule="auto"/>
        <w:jc w:val="both"/>
        <w:rPr>
          <w:rFonts w:ascii="Times New Roman" w:eastAsia="Calibri" w:hAnsi="Times New Roman" w:cs="Times New Roman"/>
          <w:sz w:val="28"/>
          <w:szCs w:val="28"/>
          <w:lang w:val="uk-UA"/>
        </w:rPr>
      </w:pPr>
      <w:r w:rsidRPr="009C18D9">
        <w:rPr>
          <w:rFonts w:ascii="Times New Roman" w:eastAsia="Calibri" w:hAnsi="Times New Roman" w:cs="Times New Roman"/>
          <w:sz w:val="28"/>
          <w:szCs w:val="28"/>
          <w:lang w:val="uk-UA"/>
        </w:rPr>
        <w:lastRenderedPageBreak/>
        <w:t xml:space="preserve">            </w:t>
      </w:r>
      <w:r w:rsidRPr="009C18D9">
        <w:rPr>
          <w:rFonts w:ascii="Times New Roman" w:eastAsia="Calibri" w:hAnsi="Times New Roman" w:cs="Times New Roman"/>
          <w:b/>
          <w:bCs/>
          <w:sz w:val="28"/>
          <w:szCs w:val="28"/>
          <w:lang w:val="uk-UA"/>
        </w:rPr>
        <w:t>3.Шляхи і способи розв’язання проблеми, строк виконання Програми</w:t>
      </w:r>
    </w:p>
    <w:p w:rsidR="009C18D9" w:rsidRPr="009C18D9" w:rsidRDefault="009C18D9" w:rsidP="009C18D9">
      <w:pPr>
        <w:spacing w:after="0" w:line="240" w:lineRule="auto"/>
        <w:jc w:val="both"/>
        <w:rPr>
          <w:rFonts w:ascii="Times New Roman" w:eastAsia="Calibri" w:hAnsi="Times New Roman" w:cs="Times New Roman"/>
          <w:b/>
          <w:bCs/>
          <w:sz w:val="28"/>
          <w:szCs w:val="28"/>
          <w:lang w:val="uk-UA"/>
        </w:rPr>
      </w:pPr>
    </w:p>
    <w:p w:rsidR="009C18D9" w:rsidRPr="009C18D9" w:rsidRDefault="009C18D9" w:rsidP="009C18D9">
      <w:pPr>
        <w:tabs>
          <w:tab w:val="left" w:pos="993"/>
        </w:tabs>
        <w:spacing w:after="0" w:line="240" w:lineRule="auto"/>
        <w:jc w:val="both"/>
        <w:rPr>
          <w:rFonts w:ascii="Times New Roman" w:eastAsia="Calibri" w:hAnsi="Times New Roman" w:cs="Times New Roman"/>
          <w:kern w:val="2"/>
          <w:sz w:val="28"/>
          <w:szCs w:val="28"/>
          <w:lang w:val="uk-UA"/>
          <w14:ligatures w14:val="standardContextual"/>
        </w:rPr>
      </w:pPr>
      <w:r w:rsidRPr="009C18D9">
        <w:rPr>
          <w:rFonts w:ascii="Times New Roman" w:eastAsia="Calibri" w:hAnsi="Times New Roman" w:cs="Times New Roman"/>
          <w:kern w:val="2"/>
          <w:sz w:val="28"/>
          <w:szCs w:val="28"/>
          <w:lang w:val="uk-UA"/>
          <w14:ligatures w14:val="standardContextual"/>
        </w:rPr>
        <w:tab/>
        <w:t xml:space="preserve">Реалізація заходів Програми забезпечить можливість отримати соціально незахищеним громадянам територіальної громади додаткову соціальну допомогу, що дозволить пом’якшити соціальну напругу, пов'язану з негативним впливом фінансово-економічної кризи і відчути реальну допомогу з боку Великосеверинівської сільської ради. </w:t>
      </w:r>
    </w:p>
    <w:p w:rsidR="009C18D9" w:rsidRPr="009C18D9" w:rsidRDefault="009C18D9" w:rsidP="009C18D9">
      <w:pPr>
        <w:tabs>
          <w:tab w:val="left" w:pos="993"/>
        </w:tabs>
        <w:spacing w:after="0" w:line="240" w:lineRule="auto"/>
        <w:jc w:val="both"/>
        <w:rPr>
          <w:rFonts w:ascii="Times New Roman" w:eastAsia="Calibri" w:hAnsi="Times New Roman" w:cs="Times New Roman"/>
          <w:kern w:val="2"/>
          <w:sz w:val="28"/>
          <w:szCs w:val="28"/>
          <w:lang w:val="uk-UA"/>
          <w14:ligatures w14:val="standardContextual"/>
        </w:rPr>
      </w:pPr>
      <w:r w:rsidRPr="009C18D9">
        <w:rPr>
          <w:rFonts w:ascii="Times New Roman" w:eastAsia="Calibri" w:hAnsi="Times New Roman" w:cs="Times New Roman"/>
          <w:kern w:val="2"/>
          <w:sz w:val="28"/>
          <w:szCs w:val="28"/>
          <w:lang w:val="uk-UA"/>
          <w14:ligatures w14:val="standardContextual"/>
        </w:rPr>
        <w:tab/>
        <w:t xml:space="preserve">Завдяки реалізації Програми буде досягнута основна мета – реалізація на території громади державної політики у сфері соціального захисту населення, створення фінансових, організаційно – правових механізмів для досягнення позитивних зрушень щодо рівня та якості життя соціально незахищених мешканців громади за рахунок можливостей місцевого самоврядування, забезпечення додаткових до встановлених законодавством гарантій, щодо соціального захисту окремих категорій мешканців громади. </w:t>
      </w:r>
    </w:p>
    <w:p w:rsidR="009C18D9" w:rsidRPr="009C18D9" w:rsidRDefault="009C18D9" w:rsidP="009C18D9">
      <w:pPr>
        <w:tabs>
          <w:tab w:val="left" w:pos="993"/>
        </w:tabs>
        <w:spacing w:after="0" w:line="240"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kern w:val="2"/>
          <w:sz w:val="28"/>
          <w:szCs w:val="28"/>
          <w:lang w:val="uk-UA"/>
          <w14:ligatures w14:val="standardContextual"/>
        </w:rPr>
        <w:tab/>
      </w:r>
      <w:r w:rsidRPr="009C18D9">
        <w:rPr>
          <w:rFonts w:ascii="Times New Roman" w:eastAsia="Calibri" w:hAnsi="Times New Roman" w:cs="Times New Roman"/>
          <w:bCs/>
          <w:sz w:val="28"/>
          <w:szCs w:val="28"/>
          <w:lang w:val="uk-UA"/>
        </w:rPr>
        <w:t>Програма  виконується  протягом  2024 - 2026 років.</w:t>
      </w:r>
    </w:p>
    <w:p w:rsidR="009C18D9" w:rsidRPr="009C18D9" w:rsidRDefault="009C18D9" w:rsidP="009C18D9">
      <w:pPr>
        <w:tabs>
          <w:tab w:val="left" w:pos="993"/>
        </w:tabs>
        <w:spacing w:after="0" w:line="240" w:lineRule="auto"/>
        <w:jc w:val="both"/>
        <w:rPr>
          <w:rFonts w:ascii="Times New Roman" w:eastAsia="Calibri" w:hAnsi="Times New Roman" w:cs="Times New Roman"/>
          <w:bCs/>
          <w:sz w:val="28"/>
          <w:szCs w:val="28"/>
          <w:lang w:val="uk-UA"/>
        </w:rPr>
      </w:pPr>
    </w:p>
    <w:p w:rsidR="009C18D9" w:rsidRPr="009C18D9" w:rsidRDefault="009C18D9" w:rsidP="009C18D9">
      <w:pPr>
        <w:spacing w:after="160" w:line="259" w:lineRule="auto"/>
        <w:jc w:val="center"/>
        <w:rPr>
          <w:rFonts w:ascii="Times New Roman" w:eastAsia="Calibri" w:hAnsi="Times New Roman" w:cs="Times New Roman"/>
          <w:b/>
          <w:sz w:val="28"/>
          <w:szCs w:val="28"/>
          <w:lang w:val="uk-UA"/>
        </w:rPr>
      </w:pPr>
      <w:r w:rsidRPr="009C18D9">
        <w:rPr>
          <w:rFonts w:ascii="Times New Roman" w:eastAsia="Calibri" w:hAnsi="Times New Roman" w:cs="Times New Roman"/>
          <w:b/>
          <w:sz w:val="28"/>
          <w:szCs w:val="28"/>
          <w:lang w:val="uk-UA"/>
        </w:rPr>
        <w:t>4.Напрями діяльності та заходи програми.</w:t>
      </w:r>
    </w:p>
    <w:p w:rsidR="009C18D9" w:rsidRPr="009C18D9" w:rsidRDefault="009C18D9" w:rsidP="009C18D9">
      <w:pPr>
        <w:spacing w:after="160" w:line="259" w:lineRule="auto"/>
        <w:ind w:firstLine="708"/>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Категорія громадян, на яких поширюється дія Програми - </w:t>
      </w:r>
      <w:bookmarkStart w:id="2" w:name="_Hlk153281303"/>
      <w:r w:rsidRPr="009C18D9">
        <w:rPr>
          <w:rFonts w:ascii="Times New Roman" w:eastAsia="Calibri" w:hAnsi="Times New Roman" w:cs="Times New Roman"/>
          <w:bCs/>
          <w:sz w:val="28"/>
          <w:szCs w:val="28"/>
          <w:lang w:val="uk-UA"/>
        </w:rPr>
        <w:t>особи, яких декларування і реєстрації місця проживання на території Великосеверинівської сільської ради</w:t>
      </w:r>
      <w:bookmarkEnd w:id="2"/>
      <w:r w:rsidRPr="009C18D9">
        <w:rPr>
          <w:rFonts w:ascii="Times New Roman" w:eastAsia="Calibri" w:hAnsi="Times New Roman" w:cs="Times New Roman"/>
          <w:bCs/>
          <w:sz w:val="28"/>
          <w:szCs w:val="28"/>
          <w:lang w:val="uk-UA"/>
        </w:rPr>
        <w:t xml:space="preserve"> та опинилися в складних життєвих обставинах.</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Засоби розв'язання проблеми:</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bookmarkStart w:id="3" w:name="_Hlk153279493"/>
      <w:r w:rsidRPr="009C18D9">
        <w:rPr>
          <w:rFonts w:ascii="Times New Roman" w:eastAsia="Calibri" w:hAnsi="Times New Roman" w:cs="Times New Roman"/>
          <w:bCs/>
          <w:sz w:val="28"/>
          <w:szCs w:val="28"/>
          <w:lang w:val="uk-UA"/>
        </w:rPr>
        <w:t xml:space="preserve">         - надання матеріальної допомоги на лікування: хворим на цукровий діабет, онкологічні захворювання, захворювання</w:t>
      </w:r>
      <w:bookmarkStart w:id="4" w:name="_GoBack"/>
      <w:bookmarkEnd w:id="4"/>
      <w:r w:rsidRPr="009C18D9">
        <w:rPr>
          <w:rFonts w:ascii="Times New Roman" w:eastAsia="Calibri" w:hAnsi="Times New Roman" w:cs="Times New Roman"/>
          <w:bCs/>
          <w:sz w:val="28"/>
          <w:szCs w:val="28"/>
          <w:lang w:val="uk-UA"/>
        </w:rPr>
        <w:t xml:space="preserve"> серцево-судинної системи, на лікування внаслідок оперативного втручання, хворим на рідкісні захворювання та інших тяжких захворювань;</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ліквідаторам та потерпілим аварії на ЧАЕС, вдовам ліквідаторів аварії на ЧАЕС (Закон України «Про статус та соціальний захист громадян, які постраждали внаслідок ЧАЕС»);</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особам з інвалідністю І-ІІІ групи по зору;</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подолання наслідків пожежі, стихійного лиха, екологічних, техногенних аварій та катастроф внаслідок воєнних дій чи збройних конфліктів;</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працівникам соціальної сфери, які проживають та працюють на території сільської ради безперервно більше 30 років;</w:t>
      </w:r>
    </w:p>
    <w:p w:rsidR="009C18D9" w:rsidRPr="009C18D9" w:rsidRDefault="009C18D9" w:rsidP="009C18D9">
      <w:pPr>
        <w:spacing w:after="160" w:line="259" w:lineRule="auto"/>
        <w:jc w:val="both"/>
        <w:rPr>
          <w:rFonts w:ascii="Times New Roman" w:eastAsia="Calibri" w:hAnsi="Times New Roman" w:cs="Times New Roman"/>
          <w:bCs/>
          <w:sz w:val="28"/>
          <w:szCs w:val="28"/>
          <w:lang w:val="uk-UA"/>
        </w:rPr>
      </w:pPr>
      <w:r w:rsidRPr="009C18D9">
        <w:rPr>
          <w:rFonts w:ascii="Times New Roman" w:eastAsia="Calibri" w:hAnsi="Times New Roman" w:cs="Times New Roman"/>
          <w:bCs/>
          <w:sz w:val="28"/>
          <w:szCs w:val="28"/>
          <w:lang w:val="uk-UA"/>
        </w:rPr>
        <w:t xml:space="preserve">      - надання матеріальної допомоги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w:t>
      </w:r>
    </w:p>
    <w:bookmarkEnd w:id="3"/>
    <w:p w:rsidR="009C18D9" w:rsidRPr="009C18D9" w:rsidRDefault="009C18D9" w:rsidP="009C18D9">
      <w:pPr>
        <w:tabs>
          <w:tab w:val="left" w:pos="7080"/>
        </w:tabs>
        <w:spacing w:after="160" w:line="240" w:lineRule="auto"/>
        <w:jc w:val="center"/>
        <w:rPr>
          <w:rFonts w:ascii="Times New Roman" w:eastAsia="Calibri" w:hAnsi="Times New Roman" w:cs="Times New Roman"/>
          <w:b/>
          <w:kern w:val="2"/>
          <w:sz w:val="28"/>
          <w:szCs w:val="28"/>
          <w:lang w:val="uk-UA"/>
          <w14:ligatures w14:val="standardContextual"/>
        </w:rPr>
      </w:pPr>
    </w:p>
    <w:p w:rsidR="009C18D9" w:rsidRPr="009C18D9" w:rsidRDefault="009C18D9" w:rsidP="009C18D9">
      <w:pPr>
        <w:tabs>
          <w:tab w:val="left" w:pos="7080"/>
        </w:tabs>
        <w:spacing w:after="160" w:line="240" w:lineRule="auto"/>
        <w:jc w:val="center"/>
        <w:rPr>
          <w:rFonts w:ascii="Times New Roman" w:eastAsia="Calibri" w:hAnsi="Times New Roman" w:cs="Times New Roman"/>
          <w:kern w:val="2"/>
          <w:sz w:val="28"/>
          <w:szCs w:val="28"/>
          <w:lang w:val="uk-UA"/>
          <w14:ligatures w14:val="standardContextual"/>
        </w:rPr>
      </w:pPr>
      <w:r w:rsidRPr="009C18D9">
        <w:rPr>
          <w:rFonts w:ascii="Times New Roman" w:eastAsia="Calibri" w:hAnsi="Times New Roman" w:cs="Times New Roman"/>
          <w:b/>
          <w:kern w:val="2"/>
          <w:sz w:val="28"/>
          <w:szCs w:val="28"/>
          <w:lang w:val="uk-UA"/>
          <w14:ligatures w14:val="standardContextual"/>
        </w:rPr>
        <w:t>5. Координація та контроль за ходом виконання Програми.</w:t>
      </w: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 xml:space="preserve">  Виконання Програми покладається на: </w:t>
      </w:r>
    </w:p>
    <w:p w:rsidR="009C18D9" w:rsidRPr="009C18D9" w:rsidRDefault="009C18D9" w:rsidP="009C18D9">
      <w:pPr>
        <w:numPr>
          <w:ilvl w:val="0"/>
          <w:numId w:val="1"/>
        </w:num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Великосеверинівська сільська рада;</w:t>
      </w:r>
    </w:p>
    <w:p w:rsidR="009C18D9" w:rsidRPr="009C18D9" w:rsidRDefault="009C18D9" w:rsidP="009C18D9">
      <w:pPr>
        <w:numPr>
          <w:ilvl w:val="0"/>
          <w:numId w:val="1"/>
        </w:num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фінансовий відділ Великосеверинівської сільської ради;</w:t>
      </w:r>
    </w:p>
    <w:p w:rsidR="009C18D9" w:rsidRPr="009C18D9" w:rsidRDefault="009C18D9" w:rsidP="009C18D9">
      <w:pPr>
        <w:numPr>
          <w:ilvl w:val="0"/>
          <w:numId w:val="1"/>
        </w:num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відділ соціального захисту населення та охорони здоров’я сільської ради;</w:t>
      </w:r>
    </w:p>
    <w:p w:rsidR="009C18D9" w:rsidRPr="009C18D9" w:rsidRDefault="009C18D9" w:rsidP="009C18D9">
      <w:pPr>
        <w:numPr>
          <w:ilvl w:val="0"/>
          <w:numId w:val="1"/>
        </w:num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 xml:space="preserve"> постійну комісію сільської ради з питань освіти, фізичного  виховання, культури, охорони здоров’я та  соціального  захисту Великосеверинівської  сільської ради;</w:t>
      </w:r>
    </w:p>
    <w:p w:rsidR="009C18D9" w:rsidRPr="009C18D9" w:rsidRDefault="009C18D9" w:rsidP="009C18D9">
      <w:pPr>
        <w:numPr>
          <w:ilvl w:val="0"/>
          <w:numId w:val="1"/>
        </w:num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 xml:space="preserve">постійну комісія з питань  планування, фінансів, бюджету, соціально-економічного  розвитку та інвестицій    Великосеверинівської  сільської ради. </w:t>
      </w: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 xml:space="preserve">                                __________________________________</w:t>
      </w: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 xml:space="preserve">                                                                                                                           </w:t>
      </w:r>
    </w:p>
    <w:p w:rsidR="009C18D9" w:rsidRPr="009C18D9" w:rsidRDefault="009C18D9" w:rsidP="009C18D9">
      <w:pPr>
        <w:tabs>
          <w:tab w:val="left" w:pos="7080"/>
        </w:tabs>
        <w:spacing w:after="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Cs/>
          <w:kern w:val="2"/>
          <w:sz w:val="28"/>
          <w:szCs w:val="28"/>
          <w:lang w:val="uk-UA"/>
          <w14:ligatures w14:val="standardContextual"/>
        </w:rPr>
      </w:pPr>
      <w:r w:rsidRPr="009C18D9">
        <w:rPr>
          <w:rFonts w:ascii="Times New Roman" w:eastAsia="Calibri" w:hAnsi="Times New Roman" w:cs="Times New Roman"/>
          <w:bCs/>
          <w:kern w:val="2"/>
          <w:sz w:val="28"/>
          <w:szCs w:val="28"/>
          <w:lang w:val="uk-UA"/>
          <w14:ligatures w14:val="standardContextual"/>
        </w:rPr>
        <w:tab/>
      </w:r>
      <w:r w:rsidRPr="009C18D9">
        <w:rPr>
          <w:rFonts w:ascii="Times New Roman" w:eastAsia="Calibri" w:hAnsi="Times New Roman" w:cs="Times New Roman"/>
          <w:bCs/>
          <w:kern w:val="2"/>
          <w:sz w:val="28"/>
          <w:szCs w:val="28"/>
          <w:lang w:val="uk-UA"/>
          <w14:ligatures w14:val="standardContextual"/>
        </w:rPr>
        <w:tab/>
      </w:r>
      <w:r w:rsidRPr="009C18D9">
        <w:rPr>
          <w:rFonts w:ascii="Times New Roman" w:eastAsia="Calibri" w:hAnsi="Times New Roman" w:cs="Times New Roman"/>
          <w:bCs/>
          <w:kern w:val="2"/>
          <w:sz w:val="28"/>
          <w:szCs w:val="28"/>
          <w:lang w:val="uk-UA"/>
          <w14:ligatures w14:val="standardContextual"/>
        </w:rPr>
        <w:tab/>
      </w:r>
      <w:r w:rsidRPr="009C18D9">
        <w:rPr>
          <w:rFonts w:ascii="Times New Roman" w:eastAsia="Calibri" w:hAnsi="Times New Roman" w:cs="Times New Roman"/>
          <w:kern w:val="2"/>
          <w:sz w:val="28"/>
          <w:szCs w:val="28"/>
          <w:lang w:val="uk-UA"/>
          <w14:ligatures w14:val="standardContextual"/>
        </w:rPr>
        <w:t>Додаток 2</w:t>
      </w:r>
    </w:p>
    <w:p w:rsidR="009C18D9" w:rsidRPr="009C18D9" w:rsidRDefault="009C18D9" w:rsidP="009C18D9">
      <w:pPr>
        <w:spacing w:after="0" w:line="259" w:lineRule="auto"/>
        <w:jc w:val="right"/>
        <w:rPr>
          <w:rFonts w:ascii="Times New Roman" w:eastAsia="Calibri" w:hAnsi="Times New Roman" w:cs="Times New Roman"/>
          <w:kern w:val="2"/>
          <w:sz w:val="28"/>
          <w:szCs w:val="28"/>
          <w:lang w:val="uk-UA"/>
          <w14:ligatures w14:val="standardContextual"/>
        </w:rPr>
      </w:pPr>
      <w:r w:rsidRPr="009C18D9">
        <w:rPr>
          <w:rFonts w:ascii="Times New Roman" w:eastAsia="Calibri" w:hAnsi="Times New Roman" w:cs="Times New Roman"/>
          <w:kern w:val="2"/>
          <w:sz w:val="28"/>
          <w:szCs w:val="28"/>
          <w:lang w:val="uk-UA"/>
          <w14:ligatures w14:val="standardContextual"/>
        </w:rPr>
        <w:t>до Програми</w:t>
      </w:r>
    </w:p>
    <w:p w:rsidR="009C18D9" w:rsidRPr="009C18D9" w:rsidRDefault="009C18D9" w:rsidP="009C18D9">
      <w:pPr>
        <w:spacing w:after="0" w:line="259" w:lineRule="auto"/>
        <w:jc w:val="center"/>
        <w:rPr>
          <w:rFonts w:ascii="Times New Roman" w:eastAsia="Calibri" w:hAnsi="Times New Roman" w:cs="Times New Roman"/>
          <w:b/>
          <w:kern w:val="2"/>
          <w:sz w:val="28"/>
          <w:szCs w:val="28"/>
          <w:lang w:val="uk-UA"/>
          <w14:ligatures w14:val="standardContextual"/>
        </w:rPr>
      </w:pPr>
      <w:r w:rsidRPr="009C18D9">
        <w:rPr>
          <w:rFonts w:ascii="Times New Roman" w:eastAsia="Calibri" w:hAnsi="Times New Roman" w:cs="Times New Roman"/>
          <w:b/>
          <w:kern w:val="2"/>
          <w:sz w:val="28"/>
          <w:szCs w:val="28"/>
          <w:lang w:val="uk-UA"/>
          <w14:ligatures w14:val="standardContextual"/>
        </w:rPr>
        <w:t xml:space="preserve">Ресурсне забезпечення  </w:t>
      </w:r>
    </w:p>
    <w:p w:rsidR="009C18D9" w:rsidRPr="009C18D9" w:rsidRDefault="009C18D9" w:rsidP="009C18D9">
      <w:pPr>
        <w:spacing w:after="0" w:line="259" w:lineRule="auto"/>
        <w:jc w:val="center"/>
        <w:rPr>
          <w:rFonts w:ascii="Times New Roman" w:eastAsia="Times New Roman" w:hAnsi="Times New Roman" w:cs="Times New Roman"/>
          <w:b/>
          <w:sz w:val="28"/>
          <w:szCs w:val="28"/>
          <w:lang w:val="uk-UA" w:eastAsia="ru-RU"/>
        </w:rPr>
      </w:pPr>
      <w:r w:rsidRPr="009C18D9">
        <w:rPr>
          <w:rFonts w:ascii="Times New Roman" w:eastAsia="Times New Roman" w:hAnsi="Times New Roman" w:cs="Times New Roman"/>
          <w:b/>
          <w:sz w:val="28"/>
          <w:szCs w:val="28"/>
          <w:lang w:val="uk-UA" w:eastAsia="ru-RU"/>
        </w:rPr>
        <w:t>Програми «ТУРБОТА» по поліпшенню соціального захисту громадян на 2024 – 2026 роки</w:t>
      </w:r>
    </w:p>
    <w:p w:rsidR="009C18D9" w:rsidRPr="009C18D9" w:rsidRDefault="009C18D9" w:rsidP="009C18D9">
      <w:pPr>
        <w:spacing w:after="0" w:line="259" w:lineRule="auto"/>
        <w:jc w:val="center"/>
        <w:rPr>
          <w:rFonts w:ascii="Times New Roman" w:eastAsia="Times New Roman" w:hAnsi="Times New Roman" w:cs="Times New Roman"/>
          <w:b/>
          <w:sz w:val="28"/>
          <w:szCs w:val="28"/>
          <w:lang w:val="uk-UA" w:eastAsia="ru-RU"/>
        </w:rPr>
      </w:pPr>
    </w:p>
    <w:tbl>
      <w:tblPr>
        <w:tblW w:w="10092" w:type="dxa"/>
        <w:tblLayout w:type="fixed"/>
        <w:tblLook w:val="0000" w:firstRow="0" w:lastRow="0" w:firstColumn="0" w:lastColumn="0" w:noHBand="0" w:noVBand="0"/>
      </w:tblPr>
      <w:tblGrid>
        <w:gridCol w:w="2972"/>
        <w:gridCol w:w="1559"/>
        <w:gridCol w:w="1276"/>
        <w:gridCol w:w="1418"/>
        <w:gridCol w:w="2867"/>
      </w:tblGrid>
      <w:tr w:rsidR="009C18D9" w:rsidRPr="009C18D9" w:rsidTr="00E73A93">
        <w:trPr>
          <w:cantSplit/>
        </w:trPr>
        <w:tc>
          <w:tcPr>
            <w:tcW w:w="2972" w:type="dxa"/>
            <w:vMerge w:val="restart"/>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Обсяг коштів, які пропонується залучити на виконання програми</w:t>
            </w:r>
          </w:p>
        </w:tc>
        <w:tc>
          <w:tcPr>
            <w:tcW w:w="4253" w:type="dxa"/>
            <w:gridSpan w:val="3"/>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Етапи виконання програми</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Усього витрат на виконання програми</w:t>
            </w:r>
            <w:r w:rsidRPr="009C18D9">
              <w:rPr>
                <w:rFonts w:ascii="Times New Roman" w:eastAsia="Calibri" w:hAnsi="Times New Roman" w:cs="Times New Roman"/>
                <w:kern w:val="2"/>
                <w:sz w:val="24"/>
                <w:szCs w:val="24"/>
                <w:lang w:val="uk-UA"/>
                <w14:ligatures w14:val="standardContextual"/>
              </w:rPr>
              <w:t xml:space="preserve"> </w:t>
            </w:r>
            <w:r w:rsidRPr="009C18D9">
              <w:rPr>
                <w:rFonts w:ascii="Times New Roman" w:eastAsia="Calibri" w:hAnsi="Times New Roman" w:cs="Times New Roman"/>
                <w:b/>
                <w:kern w:val="2"/>
                <w:sz w:val="24"/>
                <w:szCs w:val="24"/>
                <w:lang w:val="uk-UA"/>
                <w14:ligatures w14:val="standardContextual"/>
              </w:rPr>
              <w:t>(</w:t>
            </w:r>
            <w:proofErr w:type="spellStart"/>
            <w:r w:rsidRPr="009C18D9">
              <w:rPr>
                <w:rFonts w:ascii="Times New Roman" w:eastAsia="Calibri" w:hAnsi="Times New Roman" w:cs="Times New Roman"/>
                <w:b/>
                <w:kern w:val="2"/>
                <w:sz w:val="24"/>
                <w:szCs w:val="24"/>
                <w:lang w:val="uk-UA"/>
                <w14:ligatures w14:val="standardContextual"/>
              </w:rPr>
              <w:t>тис.грн</w:t>
            </w:r>
            <w:proofErr w:type="spellEnd"/>
            <w:r w:rsidRPr="009C18D9">
              <w:rPr>
                <w:rFonts w:ascii="Times New Roman" w:eastAsia="Calibri" w:hAnsi="Times New Roman" w:cs="Times New Roman"/>
                <w:b/>
                <w:kern w:val="2"/>
                <w:sz w:val="24"/>
                <w:szCs w:val="24"/>
                <w:lang w:val="uk-UA"/>
                <w14:ligatures w14:val="standardContextual"/>
              </w:rPr>
              <w:t>.)</w:t>
            </w:r>
          </w:p>
        </w:tc>
      </w:tr>
      <w:tr w:rsidR="009C18D9" w:rsidRPr="009C18D9" w:rsidTr="00E73A93">
        <w:trPr>
          <w:cantSplit/>
        </w:trPr>
        <w:tc>
          <w:tcPr>
            <w:tcW w:w="2972" w:type="dxa"/>
            <w:vMerge/>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p>
        </w:tc>
        <w:tc>
          <w:tcPr>
            <w:tcW w:w="1559"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2024рік</w:t>
            </w:r>
          </w:p>
        </w:tc>
        <w:tc>
          <w:tcPr>
            <w:tcW w:w="1276"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2025рік</w:t>
            </w:r>
          </w:p>
        </w:tc>
        <w:tc>
          <w:tcPr>
            <w:tcW w:w="1418"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2026 рік</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p>
        </w:tc>
      </w:tr>
      <w:tr w:rsidR="009C18D9" w:rsidRPr="009C18D9" w:rsidTr="00E73A93">
        <w:trPr>
          <w:trHeight w:val="790"/>
        </w:trPr>
        <w:tc>
          <w:tcPr>
            <w:tcW w:w="2972"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Усього </w:t>
            </w:r>
          </w:p>
        </w:tc>
        <w:tc>
          <w:tcPr>
            <w:tcW w:w="1559"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1276"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1418"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900,0</w:t>
            </w:r>
          </w:p>
        </w:tc>
      </w:tr>
      <w:tr w:rsidR="009C18D9" w:rsidRPr="009C18D9" w:rsidTr="00E73A93">
        <w:trPr>
          <w:trHeight w:val="348"/>
        </w:trPr>
        <w:tc>
          <w:tcPr>
            <w:tcW w:w="2972"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місцевий бюджет</w:t>
            </w:r>
          </w:p>
        </w:tc>
        <w:tc>
          <w:tcPr>
            <w:tcW w:w="1559"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1276"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1418"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300,0</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900,0</w:t>
            </w:r>
          </w:p>
        </w:tc>
      </w:tr>
      <w:tr w:rsidR="009C18D9" w:rsidRPr="009C18D9" w:rsidTr="00E73A93">
        <w:trPr>
          <w:trHeight w:val="348"/>
        </w:trPr>
        <w:tc>
          <w:tcPr>
            <w:tcW w:w="2972"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обласний бюджет</w:t>
            </w:r>
          </w:p>
        </w:tc>
        <w:tc>
          <w:tcPr>
            <w:tcW w:w="1559"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1276"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1418"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r>
      <w:tr w:rsidR="009C18D9" w:rsidRPr="009C18D9" w:rsidTr="00E73A93">
        <w:tc>
          <w:tcPr>
            <w:tcW w:w="2972"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інші бюджети</w:t>
            </w:r>
          </w:p>
        </w:tc>
        <w:tc>
          <w:tcPr>
            <w:tcW w:w="1559"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1276"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1418" w:type="dxa"/>
            <w:tcBorders>
              <w:top w:val="single" w:sz="4" w:space="0" w:color="000000"/>
              <w:left w:val="single" w:sz="4" w:space="0" w:color="000000"/>
              <w:bottom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c>
          <w:tcPr>
            <w:tcW w:w="2867" w:type="dxa"/>
            <w:tcBorders>
              <w:top w:val="single" w:sz="4" w:space="0" w:color="000000"/>
              <w:left w:val="single" w:sz="4" w:space="0" w:color="000000"/>
              <w:bottom w:val="single" w:sz="4" w:space="0" w:color="000000"/>
              <w:right w:val="single" w:sz="4" w:space="0" w:color="000000"/>
            </w:tcBorders>
          </w:tcPr>
          <w:p w:rsidR="009C18D9" w:rsidRPr="009C18D9" w:rsidRDefault="009C18D9" w:rsidP="009C18D9">
            <w:pPr>
              <w:spacing w:after="160" w:line="259" w:lineRule="auto"/>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w:t>
            </w:r>
          </w:p>
        </w:tc>
      </w:tr>
    </w:tbl>
    <w:p w:rsidR="009C18D9" w:rsidRPr="009C18D9" w:rsidRDefault="009C18D9" w:rsidP="009C18D9">
      <w:pPr>
        <w:tabs>
          <w:tab w:val="left" w:pos="7080"/>
        </w:tabs>
        <w:spacing w:after="160" w:line="259" w:lineRule="auto"/>
        <w:jc w:val="both"/>
        <w:rPr>
          <w:rFonts w:ascii="Times New Roman" w:eastAsia="Calibri" w:hAnsi="Times New Roman" w:cs="Times New Roman"/>
          <w:bCs/>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8"/>
          <w:szCs w:val="28"/>
          <w:lang w:val="uk-UA"/>
          <w14:ligatures w14:val="standardContextual"/>
        </w:rPr>
      </w:pPr>
      <w:r w:rsidRPr="009C18D9">
        <w:rPr>
          <w:rFonts w:ascii="Times New Roman" w:eastAsia="Calibri" w:hAnsi="Times New Roman" w:cs="Times New Roman"/>
          <w:kern w:val="2"/>
          <w:sz w:val="28"/>
          <w:szCs w:val="28"/>
          <w:lang w:val="uk-UA"/>
          <w14:ligatures w14:val="standardContextual"/>
        </w:rPr>
        <w:t xml:space="preserve">                                ____________________________________</w:t>
      </w: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Додаток 3</w:t>
      </w:r>
    </w:p>
    <w:p w:rsidR="009C18D9" w:rsidRPr="009C18D9" w:rsidRDefault="009C18D9" w:rsidP="009C18D9">
      <w:pPr>
        <w:tabs>
          <w:tab w:val="left" w:pos="912"/>
        </w:tabs>
        <w:spacing w:after="0" w:line="259" w:lineRule="auto"/>
        <w:ind w:left="8364"/>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до Програми</w:t>
      </w: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НАПРЯМКИ РЕАЛІЗАЦІЇ ТА ЗАХОДИ ПРОГРАМИ «ТУРБОТА» ПО ПОЛІПШЕННЮ СОЦІАЛЬНОГО ЗАХИСТУ ГРОМАДЯН НА 2024 – 2026 РОКИ</w:t>
      </w: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tbl>
      <w:tblPr>
        <w:tblStyle w:val="a5"/>
        <w:tblW w:w="10632" w:type="dxa"/>
        <w:tblInd w:w="-431" w:type="dxa"/>
        <w:tblLayout w:type="fixed"/>
        <w:tblLook w:val="04A0" w:firstRow="1" w:lastRow="0" w:firstColumn="1" w:lastColumn="0" w:noHBand="0" w:noVBand="1"/>
      </w:tblPr>
      <w:tblGrid>
        <w:gridCol w:w="458"/>
        <w:gridCol w:w="3370"/>
        <w:gridCol w:w="993"/>
        <w:gridCol w:w="1701"/>
        <w:gridCol w:w="1275"/>
        <w:gridCol w:w="1276"/>
        <w:gridCol w:w="1559"/>
      </w:tblGrid>
      <w:tr w:rsidR="009C18D9" w:rsidRPr="009C18D9" w:rsidTr="00E73A93">
        <w:trPr>
          <w:trHeight w:val="344"/>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Перелік заходів програми</w:t>
            </w: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Термін виконання заходу</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Виконавці</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Джерела фінансування</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Обсяги фінансування,</w:t>
            </w:r>
          </w:p>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proofErr w:type="spellStart"/>
            <w:r w:rsidRPr="009C18D9">
              <w:rPr>
                <w:rFonts w:ascii="Times New Roman" w:eastAsia="Calibri" w:hAnsi="Times New Roman" w:cs="Times New Roman"/>
                <w:b/>
                <w:bCs/>
                <w:sz w:val="24"/>
                <w:szCs w:val="24"/>
              </w:rPr>
              <w:t>тис.грн</w:t>
            </w:r>
            <w:proofErr w:type="spellEnd"/>
            <w:r w:rsidRPr="009C18D9">
              <w:rPr>
                <w:rFonts w:ascii="Times New Roman" w:eastAsia="Calibri" w:hAnsi="Times New Roman" w:cs="Times New Roman"/>
                <w:b/>
                <w:bCs/>
                <w:sz w:val="24"/>
                <w:szCs w:val="24"/>
              </w:rPr>
              <w:t>.</w:t>
            </w: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Очікуваний</w:t>
            </w:r>
          </w:p>
          <w:p w:rsidR="009C18D9" w:rsidRPr="009C18D9" w:rsidRDefault="009C18D9" w:rsidP="009C18D9">
            <w:pPr>
              <w:tabs>
                <w:tab w:val="left" w:pos="912"/>
              </w:tabs>
              <w:spacing w:line="259" w:lineRule="auto"/>
              <w:jc w:val="both"/>
              <w:rPr>
                <w:rFonts w:ascii="Times New Roman" w:eastAsia="Calibri" w:hAnsi="Times New Roman" w:cs="Times New Roman"/>
                <w:b/>
                <w:bCs/>
                <w:sz w:val="24"/>
                <w:szCs w:val="24"/>
              </w:rPr>
            </w:pPr>
            <w:r w:rsidRPr="009C18D9">
              <w:rPr>
                <w:rFonts w:ascii="Times New Roman" w:eastAsia="Calibri" w:hAnsi="Times New Roman" w:cs="Times New Roman"/>
                <w:b/>
                <w:bCs/>
                <w:sz w:val="24"/>
                <w:szCs w:val="24"/>
              </w:rPr>
              <w:t>результат</w:t>
            </w:r>
          </w:p>
        </w:tc>
      </w:tr>
      <w:tr w:rsidR="009C18D9" w:rsidRPr="009C18D9" w:rsidTr="00E73A93">
        <w:trPr>
          <w:trHeight w:val="839"/>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1.</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Надання матеріальної допомоги особам, які мають онкологічну патологію та захворювання в розмірі – 5000,00</w:t>
            </w: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2024р.-75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2025р.- 75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2026р.- 75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мешканців територіальної громади на лікування</w:t>
            </w:r>
          </w:p>
        </w:tc>
      </w:tr>
      <w:tr w:rsidR="009C18D9" w:rsidRPr="009C18D9" w:rsidTr="00E73A93">
        <w:trPr>
          <w:trHeight w:val="844"/>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Надання матеріальної допомоги на лікування внаслідок оперативного втручання (за рішенням комісії) </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 р. – 50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2025р.- 50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50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мешканців територіальної громади на лікування </w:t>
            </w:r>
          </w:p>
        </w:tc>
      </w:tr>
      <w:tr w:rsidR="009C18D9" w:rsidRPr="009C18D9" w:rsidTr="00E73A93">
        <w:trPr>
          <w:trHeight w:val="1477"/>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3.</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Надання одноразової матеріальної допомоги на лікування </w:t>
            </w:r>
            <w:proofErr w:type="spellStart"/>
            <w:r w:rsidRPr="009C18D9">
              <w:rPr>
                <w:rFonts w:ascii="Times New Roman" w:eastAsia="Calibri" w:hAnsi="Times New Roman" w:cs="Times New Roman"/>
                <w:sz w:val="24"/>
                <w:szCs w:val="24"/>
              </w:rPr>
              <w:t>сердцево</w:t>
            </w:r>
            <w:proofErr w:type="spellEnd"/>
            <w:r w:rsidRPr="009C18D9">
              <w:rPr>
                <w:rFonts w:ascii="Times New Roman" w:eastAsia="Calibri" w:hAnsi="Times New Roman" w:cs="Times New Roman"/>
                <w:sz w:val="24"/>
                <w:szCs w:val="24"/>
              </w:rPr>
              <w:t xml:space="preserve"> – судинні захворювання (інфаркти, інсульти), </w:t>
            </w:r>
            <w:proofErr w:type="spellStart"/>
            <w:r w:rsidRPr="009C18D9">
              <w:rPr>
                <w:rFonts w:ascii="Times New Roman" w:eastAsia="Calibri" w:hAnsi="Times New Roman" w:cs="Times New Roman"/>
                <w:sz w:val="24"/>
                <w:szCs w:val="24"/>
              </w:rPr>
              <w:t>ендопротезування</w:t>
            </w:r>
            <w:proofErr w:type="spellEnd"/>
            <w:r w:rsidRPr="009C18D9">
              <w:rPr>
                <w:rFonts w:ascii="Times New Roman" w:eastAsia="Calibri" w:hAnsi="Times New Roman" w:cs="Times New Roman"/>
                <w:sz w:val="24"/>
                <w:szCs w:val="24"/>
              </w:rPr>
              <w:t xml:space="preserve"> (заміна суглобів)</w:t>
            </w:r>
            <w:r w:rsidRPr="009C18D9">
              <w:rPr>
                <w:rFonts w:ascii="Calibri" w:eastAsia="Calibri" w:hAnsi="Calibri" w:cs="Times New Roman"/>
              </w:rPr>
              <w:t xml:space="preserve"> </w:t>
            </w:r>
            <w:r w:rsidRPr="009C18D9">
              <w:rPr>
                <w:rFonts w:ascii="Times New Roman" w:eastAsia="Calibri" w:hAnsi="Times New Roman" w:cs="Times New Roman"/>
                <w:sz w:val="24"/>
                <w:szCs w:val="24"/>
              </w:rPr>
              <w:t xml:space="preserve">за рішенням комісії; </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Надання одноразової матеріальної допомоги на лікування загальне захворювання (від 500 до 3000 грн.) за рішенням  комісії;</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 ради</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2024р.- 60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 60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60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мешканців територіальної громади на лікування</w:t>
            </w:r>
          </w:p>
        </w:tc>
      </w:tr>
      <w:tr w:rsidR="009C18D9" w:rsidRPr="009C18D9" w:rsidTr="00E73A93">
        <w:trPr>
          <w:trHeight w:val="1149"/>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4.</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bCs/>
                <w:sz w:val="24"/>
                <w:szCs w:val="24"/>
              </w:rPr>
            </w:pPr>
            <w:r w:rsidRPr="009C18D9">
              <w:rPr>
                <w:rFonts w:ascii="Times New Roman" w:eastAsia="Calibri" w:hAnsi="Times New Roman" w:cs="Times New Roman"/>
                <w:sz w:val="24"/>
                <w:szCs w:val="24"/>
              </w:rPr>
              <w:t xml:space="preserve">Надання матеріальної допомоги </w:t>
            </w:r>
            <w:r w:rsidRPr="009C18D9">
              <w:rPr>
                <w:rFonts w:ascii="Times New Roman" w:eastAsia="Calibri" w:hAnsi="Times New Roman" w:cs="Times New Roman"/>
                <w:bCs/>
                <w:sz w:val="24"/>
                <w:szCs w:val="24"/>
              </w:rPr>
              <w:t xml:space="preserve"> особам з  інвалідністю І-ІІІ групи  по зору в розмірі – 500,00 грн. (квартал)</w:t>
            </w:r>
          </w:p>
          <w:p w:rsidR="009C18D9" w:rsidRPr="009C18D9" w:rsidRDefault="009C18D9" w:rsidP="009C18D9">
            <w:pPr>
              <w:tabs>
                <w:tab w:val="left" w:pos="912"/>
              </w:tabs>
              <w:spacing w:line="259" w:lineRule="auto"/>
              <w:jc w:val="both"/>
              <w:rPr>
                <w:rFonts w:ascii="Times New Roman" w:eastAsia="Calibri" w:hAnsi="Times New Roman" w:cs="Times New Roman"/>
                <w:bCs/>
                <w:sz w:val="24"/>
                <w:szCs w:val="24"/>
              </w:rPr>
            </w:pPr>
          </w:p>
          <w:p w:rsidR="009C18D9" w:rsidRPr="009C18D9" w:rsidRDefault="009C18D9" w:rsidP="009C18D9">
            <w:pPr>
              <w:tabs>
                <w:tab w:val="left" w:pos="912"/>
              </w:tabs>
              <w:spacing w:line="259" w:lineRule="auto"/>
              <w:jc w:val="both"/>
              <w:rPr>
                <w:rFonts w:ascii="Times New Roman" w:eastAsia="Calibri" w:hAnsi="Times New Roman" w:cs="Times New Roman"/>
                <w:bCs/>
                <w:sz w:val="24"/>
                <w:szCs w:val="24"/>
              </w:rPr>
            </w:pP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2024р.- 20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 20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20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 підтримка осіб з інвалідністю</w:t>
            </w:r>
          </w:p>
        </w:tc>
      </w:tr>
      <w:tr w:rsidR="009C18D9" w:rsidRPr="009C18D9" w:rsidTr="00E73A93">
        <w:trPr>
          <w:trHeight w:val="738"/>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5.</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Надання одноразової матеріальної допомоги </w:t>
            </w:r>
            <w:r w:rsidRPr="009C18D9">
              <w:rPr>
                <w:rFonts w:ascii="Times New Roman" w:eastAsia="Calibri" w:hAnsi="Times New Roman" w:cs="Times New Roman"/>
                <w:bCs/>
                <w:sz w:val="24"/>
                <w:szCs w:val="24"/>
              </w:rPr>
              <w:t xml:space="preserve"> особам, які постраждали від </w:t>
            </w:r>
            <w:r w:rsidRPr="009C18D9">
              <w:rPr>
                <w:rFonts w:ascii="Times New Roman" w:eastAsia="Calibri" w:hAnsi="Times New Roman" w:cs="Times New Roman"/>
                <w:bCs/>
                <w:sz w:val="24"/>
                <w:szCs w:val="24"/>
              </w:rPr>
              <w:lastRenderedPageBreak/>
              <w:t>Чорнобильської катастрофи в розмірі -500,00 грн.</w:t>
            </w: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lastRenderedPageBreak/>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Відділ соціального захисту </w:t>
            </w:r>
            <w:r w:rsidRPr="009C18D9">
              <w:rPr>
                <w:rFonts w:ascii="Times New Roman" w:eastAsia="Calibri" w:hAnsi="Times New Roman" w:cs="Times New Roman"/>
                <w:sz w:val="24"/>
                <w:szCs w:val="24"/>
              </w:rPr>
              <w:lastRenderedPageBreak/>
              <w:t>населення та охорони здоров’я сільської</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lastRenderedPageBreak/>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2024р.- 20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2025р.- 20 </w:t>
            </w:r>
            <w:proofErr w:type="spellStart"/>
            <w:r w:rsidRPr="009C18D9">
              <w:rPr>
                <w:rFonts w:ascii="Times New Roman" w:eastAsia="Calibri" w:hAnsi="Times New Roman" w:cs="Times New Roman"/>
                <w:sz w:val="24"/>
                <w:szCs w:val="24"/>
              </w:rPr>
              <w:lastRenderedPageBreak/>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20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lastRenderedPageBreak/>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підтримка  </w:t>
            </w:r>
          </w:p>
        </w:tc>
      </w:tr>
      <w:tr w:rsidR="009C18D9" w:rsidRPr="009C18D9" w:rsidTr="00E73A93">
        <w:trPr>
          <w:trHeight w:val="419"/>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lastRenderedPageBreak/>
              <w:t>6.</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Надання матеріальної допомоги </w:t>
            </w:r>
            <w:r w:rsidRPr="009C18D9">
              <w:rPr>
                <w:rFonts w:ascii="Times New Roman" w:eastAsia="Calibri" w:hAnsi="Times New Roman" w:cs="Times New Roman"/>
                <w:bCs/>
                <w:sz w:val="24"/>
                <w:szCs w:val="24"/>
              </w:rPr>
              <w:t xml:space="preserve">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 в розмірі одного прожиткового </w:t>
            </w:r>
            <w:proofErr w:type="spellStart"/>
            <w:r w:rsidRPr="009C18D9">
              <w:rPr>
                <w:rFonts w:ascii="Times New Roman" w:eastAsia="Calibri" w:hAnsi="Times New Roman" w:cs="Times New Roman"/>
                <w:bCs/>
                <w:sz w:val="24"/>
                <w:szCs w:val="24"/>
              </w:rPr>
              <w:t>мінімума</w:t>
            </w:r>
            <w:proofErr w:type="spellEnd"/>
            <w:r w:rsidRPr="009C18D9">
              <w:rPr>
                <w:rFonts w:ascii="Times New Roman" w:eastAsia="Calibri" w:hAnsi="Times New Roman" w:cs="Times New Roman"/>
                <w:bCs/>
                <w:sz w:val="24"/>
                <w:szCs w:val="24"/>
              </w:rPr>
              <w:t xml:space="preserve">  для працездатних осіб</w:t>
            </w: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2024р.- 17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2025р.- 17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17 </w:t>
            </w:r>
            <w:proofErr w:type="spellStart"/>
            <w:r w:rsidRPr="009C18D9">
              <w:rPr>
                <w:rFonts w:ascii="Times New Roman" w:eastAsia="Calibri" w:hAnsi="Times New Roman" w:cs="Times New Roman"/>
                <w:sz w:val="24"/>
                <w:szCs w:val="24"/>
              </w:rPr>
              <w:t>тис.грн</w:t>
            </w:r>
            <w:proofErr w:type="spellEnd"/>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на поховання</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r>
      <w:tr w:rsidR="009C18D9" w:rsidRPr="009C18D9" w:rsidTr="00E73A93">
        <w:trPr>
          <w:trHeight w:val="59"/>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7.</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Надання матеріальної допомоги на</w:t>
            </w:r>
            <w:r w:rsidRPr="009C18D9">
              <w:rPr>
                <w:rFonts w:ascii="Times New Roman" w:eastAsia="Calibri" w:hAnsi="Times New Roman" w:cs="Times New Roman"/>
                <w:bCs/>
                <w:sz w:val="24"/>
                <w:szCs w:val="24"/>
              </w:rPr>
              <w:t xml:space="preserve"> подолання наслідків пожежі, стихійного лиха, екологічних, техногенних аварій та катастроф внаслідок воєнних дій чи збройних конфліктів за рішенням комісії </w:t>
            </w:r>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2024р.- 50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2025р.- 50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50  </w:t>
            </w:r>
            <w:proofErr w:type="spellStart"/>
            <w:r w:rsidRPr="009C18D9">
              <w:rPr>
                <w:rFonts w:ascii="Times New Roman" w:eastAsia="Calibri" w:hAnsi="Times New Roman" w:cs="Times New Roman"/>
                <w:sz w:val="24"/>
                <w:szCs w:val="24"/>
              </w:rPr>
              <w:t>тис.грн</w:t>
            </w:r>
            <w:proofErr w:type="spellEnd"/>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p>
        </w:tc>
      </w:tr>
      <w:tr w:rsidR="009C18D9" w:rsidRPr="009C18D9" w:rsidTr="00E73A93">
        <w:trPr>
          <w:trHeight w:val="59"/>
        </w:trPr>
        <w:tc>
          <w:tcPr>
            <w:tcW w:w="458"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8.</w:t>
            </w:r>
          </w:p>
        </w:tc>
        <w:tc>
          <w:tcPr>
            <w:tcW w:w="3370" w:type="dxa"/>
          </w:tcPr>
          <w:p w:rsidR="009C18D9" w:rsidRPr="009C18D9" w:rsidRDefault="009C18D9" w:rsidP="009C18D9">
            <w:pPr>
              <w:tabs>
                <w:tab w:val="left" w:pos="912"/>
              </w:tabs>
              <w:jc w:val="both"/>
              <w:rPr>
                <w:rFonts w:ascii="Times New Roman" w:eastAsia="Calibri" w:hAnsi="Times New Roman" w:cs="Times New Roman"/>
                <w:sz w:val="24"/>
                <w:szCs w:val="24"/>
              </w:rPr>
            </w:pPr>
            <w:bookmarkStart w:id="5" w:name="_Hlk153281755"/>
            <w:r w:rsidRPr="009C18D9">
              <w:rPr>
                <w:rFonts w:ascii="Times New Roman" w:eastAsia="Calibri" w:hAnsi="Times New Roman" w:cs="Times New Roman"/>
                <w:sz w:val="24"/>
                <w:szCs w:val="24"/>
              </w:rPr>
              <w:t>Надання матеріальної допомоги працівникам соціальної сфери, які проживають та працюють на території сільської ради безперервно більше 30 років;</w:t>
            </w:r>
            <w:bookmarkEnd w:id="5"/>
          </w:p>
        </w:tc>
        <w:tc>
          <w:tcPr>
            <w:tcW w:w="993"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 – 2026 роки</w:t>
            </w:r>
          </w:p>
        </w:tc>
        <w:tc>
          <w:tcPr>
            <w:tcW w:w="1701"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2024р.- 3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2025р.- 3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3 </w:t>
            </w:r>
            <w:proofErr w:type="spellStart"/>
            <w:r w:rsidRPr="009C18D9">
              <w:rPr>
                <w:rFonts w:ascii="Times New Roman" w:eastAsia="Calibri" w:hAnsi="Times New Roman" w:cs="Times New Roman"/>
                <w:sz w:val="24"/>
                <w:szCs w:val="24"/>
              </w:rPr>
              <w:t>тис.грн</w:t>
            </w:r>
            <w:proofErr w:type="spellEnd"/>
          </w:p>
        </w:tc>
        <w:tc>
          <w:tcPr>
            <w:tcW w:w="1559" w:type="dxa"/>
          </w:tcPr>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tc>
      </w:tr>
      <w:tr w:rsidR="009C18D9" w:rsidRPr="009C18D9" w:rsidTr="00E73A93">
        <w:trPr>
          <w:trHeight w:val="1158"/>
        </w:trPr>
        <w:tc>
          <w:tcPr>
            <w:tcW w:w="458"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9.</w:t>
            </w:r>
          </w:p>
        </w:tc>
        <w:tc>
          <w:tcPr>
            <w:tcW w:w="3370"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bookmarkStart w:id="6" w:name="_Hlk138152298"/>
            <w:r w:rsidRPr="009C18D9">
              <w:rPr>
                <w:rFonts w:ascii="Times New Roman" w:eastAsia="Calibri" w:hAnsi="Times New Roman" w:cs="Times New Roman"/>
                <w:sz w:val="24"/>
                <w:szCs w:val="24"/>
              </w:rPr>
              <w:t>Надання матеріальної допомоги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w:t>
            </w:r>
            <w:bookmarkEnd w:id="6"/>
          </w:p>
        </w:tc>
        <w:tc>
          <w:tcPr>
            <w:tcW w:w="993"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2024 – 2026 роки</w:t>
            </w:r>
          </w:p>
        </w:tc>
        <w:tc>
          <w:tcPr>
            <w:tcW w:w="1701"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Відділ соціального захисту населення та охорони здоров’я сільської</w:t>
            </w:r>
          </w:p>
        </w:tc>
        <w:tc>
          <w:tcPr>
            <w:tcW w:w="1275"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Місцевий бюджет</w:t>
            </w:r>
          </w:p>
        </w:tc>
        <w:tc>
          <w:tcPr>
            <w:tcW w:w="1276"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2024р.- 5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2025р.- 5 </w:t>
            </w:r>
            <w:proofErr w:type="spellStart"/>
            <w:r w:rsidRPr="009C18D9">
              <w:rPr>
                <w:rFonts w:ascii="Times New Roman" w:eastAsia="Calibri" w:hAnsi="Times New Roman" w:cs="Times New Roman"/>
                <w:sz w:val="24"/>
                <w:szCs w:val="24"/>
              </w:rPr>
              <w:t>тис.грн</w:t>
            </w:r>
            <w:proofErr w:type="spellEnd"/>
            <w:r w:rsidRPr="009C18D9">
              <w:rPr>
                <w:rFonts w:ascii="Times New Roman" w:eastAsia="Calibri" w:hAnsi="Times New Roman" w:cs="Times New Roman"/>
                <w:sz w:val="24"/>
                <w:szCs w:val="24"/>
              </w:rPr>
              <w:t>.;</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 xml:space="preserve">2026р. – 5 </w:t>
            </w:r>
            <w:proofErr w:type="spellStart"/>
            <w:r w:rsidRPr="009C18D9">
              <w:rPr>
                <w:rFonts w:ascii="Times New Roman" w:eastAsia="Calibri" w:hAnsi="Times New Roman" w:cs="Times New Roman"/>
                <w:sz w:val="24"/>
                <w:szCs w:val="24"/>
              </w:rPr>
              <w:t>тис.грн</w:t>
            </w:r>
            <w:proofErr w:type="spellEnd"/>
          </w:p>
        </w:tc>
        <w:tc>
          <w:tcPr>
            <w:tcW w:w="1559" w:type="dxa"/>
          </w:tcPr>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Матеріальна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підтримка</w:t>
            </w:r>
          </w:p>
          <w:p w:rsidR="009C18D9" w:rsidRPr="009C18D9" w:rsidRDefault="009C18D9" w:rsidP="009C18D9">
            <w:pPr>
              <w:tabs>
                <w:tab w:val="left" w:pos="912"/>
              </w:tabs>
              <w:spacing w:line="259" w:lineRule="auto"/>
              <w:jc w:val="both"/>
              <w:rPr>
                <w:rFonts w:ascii="Times New Roman" w:eastAsia="Calibri" w:hAnsi="Times New Roman" w:cs="Times New Roman"/>
                <w:sz w:val="24"/>
                <w:szCs w:val="24"/>
              </w:rPr>
            </w:pPr>
            <w:r w:rsidRPr="009C18D9">
              <w:rPr>
                <w:rFonts w:ascii="Times New Roman" w:eastAsia="Calibri" w:hAnsi="Times New Roman" w:cs="Times New Roman"/>
                <w:sz w:val="24"/>
                <w:szCs w:val="24"/>
              </w:rPr>
              <w:t>на поховання</w:t>
            </w:r>
          </w:p>
        </w:tc>
      </w:tr>
    </w:tbl>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912"/>
        </w:tabs>
        <w:spacing w:after="0" w:line="259" w:lineRule="auto"/>
        <w:jc w:val="center"/>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________________________________________</w:t>
      </w:r>
    </w:p>
    <w:p w:rsidR="009C18D9" w:rsidRPr="009C18D9" w:rsidRDefault="009C18D9" w:rsidP="009C18D9">
      <w:pPr>
        <w:tabs>
          <w:tab w:val="left" w:pos="912"/>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6516"/>
        </w:tabs>
        <w:spacing w:after="160" w:line="259" w:lineRule="auto"/>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8"/>
          <w:szCs w:val="28"/>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ab/>
      </w:r>
      <w:r w:rsidRPr="009C18D9">
        <w:rPr>
          <w:rFonts w:ascii="Times New Roman" w:eastAsia="Calibri" w:hAnsi="Times New Roman" w:cs="Times New Roman"/>
          <w:kern w:val="2"/>
          <w:sz w:val="24"/>
          <w:szCs w:val="24"/>
          <w:lang w:val="uk-UA"/>
          <w14:ligatures w14:val="standardContextual"/>
        </w:rPr>
        <w:tab/>
      </w:r>
      <w:r w:rsidRPr="009C18D9">
        <w:rPr>
          <w:rFonts w:ascii="Times New Roman" w:eastAsia="Calibri" w:hAnsi="Times New Roman" w:cs="Times New Roman"/>
          <w:kern w:val="2"/>
          <w:sz w:val="24"/>
          <w:szCs w:val="24"/>
          <w:lang w:val="uk-UA"/>
          <w14:ligatures w14:val="standardContextual"/>
        </w:rPr>
        <w:tab/>
        <w:t>Додаток 4</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до Програми</w:t>
      </w:r>
    </w:p>
    <w:p w:rsidR="009C18D9" w:rsidRPr="009C18D9" w:rsidRDefault="009C18D9" w:rsidP="009C18D9">
      <w:pPr>
        <w:tabs>
          <w:tab w:val="left" w:pos="7080"/>
        </w:tabs>
        <w:spacing w:after="160" w:line="259" w:lineRule="auto"/>
        <w:jc w:val="center"/>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ПОРЯДОК</w:t>
      </w:r>
    </w:p>
    <w:p w:rsidR="009C18D9" w:rsidRPr="009C18D9" w:rsidRDefault="009C18D9" w:rsidP="009C18D9">
      <w:pPr>
        <w:tabs>
          <w:tab w:val="left" w:pos="7080"/>
        </w:tabs>
        <w:spacing w:after="160" w:line="259" w:lineRule="auto"/>
        <w:jc w:val="center"/>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 xml:space="preserve">надання матеріальної допомоги громадянам, передбаченої заходами  Програми </w:t>
      </w:r>
      <w:r w:rsidRPr="009C18D9">
        <w:rPr>
          <w:rFonts w:ascii="Times New Roman" w:eastAsia="Calibri" w:hAnsi="Times New Roman" w:cs="Times New Roman"/>
          <w:kern w:val="2"/>
          <w:sz w:val="24"/>
          <w:szCs w:val="24"/>
          <w:lang w:val="uk-UA"/>
          <w14:ligatures w14:val="standardContextual"/>
        </w:rPr>
        <w:t>«</w:t>
      </w:r>
      <w:r w:rsidRPr="009C18D9">
        <w:rPr>
          <w:rFonts w:ascii="Times New Roman" w:eastAsia="Calibri" w:hAnsi="Times New Roman" w:cs="Times New Roman"/>
          <w:b/>
          <w:bCs/>
          <w:kern w:val="2"/>
          <w:sz w:val="24"/>
          <w:szCs w:val="24"/>
          <w:lang w:val="uk-UA"/>
          <w14:ligatures w14:val="standardContextual"/>
        </w:rPr>
        <w:t>ТУРБОТА»  по поліпшенню соціального захисту громадян на 2024 - 2026 роки</w:t>
      </w:r>
      <w:r w:rsidRPr="009C18D9">
        <w:rPr>
          <w:rFonts w:ascii="Times New Roman" w:eastAsia="Calibri" w:hAnsi="Times New Roman" w:cs="Times New Roman"/>
          <w:kern w:val="2"/>
          <w:sz w:val="24"/>
          <w:szCs w:val="24"/>
          <w:lang w:val="uk-UA"/>
          <w14:ligatures w14:val="standardContextual"/>
        </w:rPr>
        <w:t>.</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r w:rsidRPr="009C18D9">
        <w:rPr>
          <w:rFonts w:ascii="Times New Roman" w:eastAsia="Calibri" w:hAnsi="Times New Roman" w:cs="Times New Roman"/>
          <w:kern w:val="2"/>
          <w:sz w:val="24"/>
          <w:szCs w:val="24"/>
          <w:lang w:val="uk-UA"/>
          <w14:ligatures w14:val="standardContextual"/>
        </w:rPr>
        <w:tab/>
        <w:t>Порядок надання одноразової матеріальної допомоги громадянам, які внаслідок недостатнього матеріального забезпечення потребують соціальної підтримки (далі – Порядок) визначає механізм надання та виплати одноразової матеріальної допомоги, що надається згідно заходів, передбачених програмою «Турбота» Великосеверинівської сільської ради щодо посилення соціального захисту громадян. Дія цього Порядку поширюється на осіб, яких декларування і реєстрації місця проживання на території Великосеверинівської сільської ради.</w:t>
      </w:r>
    </w:p>
    <w:p w:rsidR="009C18D9" w:rsidRPr="009C18D9" w:rsidRDefault="009C18D9" w:rsidP="009C18D9">
      <w:pPr>
        <w:spacing w:after="16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ab/>
        <w:t>Допомога надається на підставі особистої заяви громадянина</w:t>
      </w:r>
      <w:r w:rsidRPr="009C18D9">
        <w:rPr>
          <w:rFonts w:ascii="Calibri" w:eastAsia="Calibri" w:hAnsi="Calibri" w:cs="Times New Roman"/>
          <w:kern w:val="2"/>
          <w:lang w:val="uk-UA"/>
          <w14:ligatures w14:val="standardContextual"/>
        </w:rPr>
        <w:t xml:space="preserve"> </w:t>
      </w:r>
      <w:r w:rsidRPr="009C18D9">
        <w:rPr>
          <w:rFonts w:ascii="Times New Roman" w:eastAsia="Calibri" w:hAnsi="Times New Roman" w:cs="Times New Roman"/>
          <w:kern w:val="2"/>
          <w:sz w:val="24"/>
          <w:szCs w:val="24"/>
          <w:lang w:val="uk-UA"/>
          <w14:ligatures w14:val="standardContextual"/>
        </w:rPr>
        <w:t>або уповноваженою ним особою у паперовій формі до центру надання адміністративних послуг на ім’я Великосеверинівського сільського голови, в якій вказується підстава для отримання допомоги.</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ab/>
      </w:r>
      <w:r w:rsidRPr="009C18D9">
        <w:rPr>
          <w:rFonts w:ascii="Times New Roman" w:eastAsia="Calibri" w:hAnsi="Times New Roman" w:cs="Times New Roman"/>
          <w:kern w:val="2"/>
          <w:sz w:val="24"/>
          <w:szCs w:val="24"/>
          <w:lang w:val="uk-UA"/>
          <w14:ligatures w14:val="standardContextual"/>
        </w:rPr>
        <w:t>Матеріальна допомога надається за рішенням комісії «Турбота» Великосеверинівської сільської ради за рахунок коштів місцевого бюджету в межах видатків, передбачених на цю мету у поточному році. Матеріальна допомога надається у безготівковій формі, один раз на рік.</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Питання щодо надання матеріальної допомоги розглядається Комісією при наявності повного пакету документів, визначених  Порядку. Комісія розглядає подані документи щодо надання допомоги та приймає рішення про можливість і розмір її надання. За наслідками розгляду отриманих документів, Комісія може відмовити в наданні одноразової матеріальної допомоги, якщо: </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особистої відмови заявника від отримання одноразової грошової допомоги;</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roofErr w:type="spellStart"/>
      <w:r w:rsidRPr="009C18D9">
        <w:rPr>
          <w:rFonts w:ascii="Times New Roman" w:eastAsia="Calibri" w:hAnsi="Times New Roman" w:cs="Times New Roman"/>
          <w:kern w:val="2"/>
          <w:sz w:val="24"/>
          <w:szCs w:val="24"/>
          <w:lang w:val="uk-UA"/>
          <w14:ligatures w14:val="standardContextual"/>
        </w:rPr>
        <w:t>-надання</w:t>
      </w:r>
      <w:proofErr w:type="spellEnd"/>
      <w:r w:rsidRPr="009C18D9">
        <w:rPr>
          <w:rFonts w:ascii="Times New Roman" w:eastAsia="Calibri" w:hAnsi="Times New Roman" w:cs="Times New Roman"/>
          <w:kern w:val="2"/>
          <w:sz w:val="24"/>
          <w:szCs w:val="24"/>
          <w:lang w:val="uk-UA"/>
          <w14:ligatures w14:val="standardContextual"/>
        </w:rPr>
        <w:t xml:space="preserve"> недостовірних даних; </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proofErr w:type="spellStart"/>
      <w:r w:rsidRPr="009C18D9">
        <w:rPr>
          <w:rFonts w:ascii="Times New Roman" w:eastAsia="Calibri" w:hAnsi="Times New Roman" w:cs="Times New Roman"/>
          <w:kern w:val="2"/>
          <w:sz w:val="24"/>
          <w:szCs w:val="24"/>
          <w:lang w:val="uk-UA"/>
          <w14:ligatures w14:val="standardContextual"/>
        </w:rPr>
        <w:t>-надання</w:t>
      </w:r>
      <w:proofErr w:type="spellEnd"/>
      <w:r w:rsidRPr="009C18D9">
        <w:rPr>
          <w:rFonts w:ascii="Times New Roman" w:eastAsia="Calibri" w:hAnsi="Times New Roman" w:cs="Times New Roman"/>
          <w:kern w:val="2"/>
          <w:sz w:val="24"/>
          <w:szCs w:val="24"/>
          <w:lang w:val="uk-UA"/>
          <w14:ligatures w14:val="standardContextual"/>
        </w:rPr>
        <w:t xml:space="preserve"> неповного пакету документів;</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proofErr w:type="spellStart"/>
      <w:r w:rsidRPr="009C18D9">
        <w:rPr>
          <w:rFonts w:ascii="Times New Roman" w:eastAsia="Calibri" w:hAnsi="Times New Roman" w:cs="Times New Roman"/>
          <w:kern w:val="2"/>
          <w:sz w:val="24"/>
          <w:szCs w:val="24"/>
          <w:lang w:val="uk-UA"/>
          <w14:ligatures w14:val="standardContextual"/>
        </w:rPr>
        <w:t>-відсутність</w:t>
      </w:r>
      <w:proofErr w:type="spellEnd"/>
      <w:r w:rsidRPr="009C18D9">
        <w:rPr>
          <w:rFonts w:ascii="Times New Roman" w:eastAsia="Calibri" w:hAnsi="Times New Roman" w:cs="Times New Roman"/>
          <w:kern w:val="2"/>
          <w:sz w:val="24"/>
          <w:szCs w:val="24"/>
          <w:lang w:val="uk-UA"/>
          <w14:ligatures w14:val="standardContextual"/>
        </w:rPr>
        <w:t xml:space="preserve"> коштів у бюджеті;</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-у зв’язку зі смертю особи, яка потребує одноразової грошової допомоги;</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-у випадку повторного звернення особи або члена сім’ї протягом року;</w:t>
      </w:r>
    </w:p>
    <w:p w:rsidR="009C18D9" w:rsidRPr="009C18D9" w:rsidRDefault="009C18D9" w:rsidP="009C18D9">
      <w:pPr>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у випадку, якщо заявник на протязі 2-х років поспіль звертається за допомогою на лікування за одним і тим же діагнозом.</w:t>
      </w:r>
    </w:p>
    <w:p w:rsidR="009C18D9" w:rsidRPr="009C18D9" w:rsidRDefault="009C18D9" w:rsidP="009C18D9">
      <w:pPr>
        <w:tabs>
          <w:tab w:val="left" w:pos="7080"/>
        </w:tabs>
        <w:spacing w:after="160" w:line="259" w:lineRule="auto"/>
        <w:jc w:val="center"/>
        <w:rPr>
          <w:rFonts w:ascii="Times New Roman" w:eastAsia="Calibri" w:hAnsi="Times New Roman" w:cs="Times New Roman"/>
          <w:b/>
          <w:kern w:val="2"/>
          <w:sz w:val="24"/>
          <w:szCs w:val="24"/>
          <w:lang w:val="uk-UA"/>
          <w14:ligatures w14:val="standardContextual"/>
        </w:rPr>
      </w:pPr>
      <w:r w:rsidRPr="009C18D9">
        <w:rPr>
          <w:rFonts w:ascii="Times New Roman" w:eastAsia="Calibri" w:hAnsi="Times New Roman" w:cs="Times New Roman"/>
          <w:b/>
          <w:kern w:val="2"/>
          <w:sz w:val="24"/>
          <w:szCs w:val="24"/>
          <w:lang w:val="uk-UA"/>
          <w14:ligatures w14:val="standardContextual"/>
        </w:rPr>
        <w:t>Перелік документів, необхідних для отримання матеріальної допомоги</w:t>
      </w:r>
    </w:p>
    <w:p w:rsidR="009C18D9" w:rsidRPr="009C18D9" w:rsidRDefault="009C18D9" w:rsidP="009C18D9">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на лікування: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bookmarkStart w:id="7" w:name="_Hlk134623023"/>
      <w:r w:rsidRPr="009C18D9">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roofErr w:type="spellStart"/>
      <w:r w:rsidRPr="009C18D9">
        <w:rPr>
          <w:rFonts w:ascii="Times New Roman" w:eastAsia="Calibri" w:hAnsi="Times New Roman" w:cs="Times New Roman"/>
          <w:kern w:val="2"/>
          <w:sz w:val="24"/>
          <w:szCs w:val="24"/>
          <w:lang w:val="uk-UA"/>
          <w14:ligatures w14:val="standardContextual"/>
        </w:rPr>
        <w:t>-паспорт</w:t>
      </w:r>
      <w:proofErr w:type="spellEnd"/>
      <w:r w:rsidRPr="009C18D9">
        <w:rPr>
          <w:rFonts w:ascii="Times New Roman" w:eastAsia="Calibri" w:hAnsi="Times New Roman" w:cs="Times New Roman"/>
          <w:kern w:val="2"/>
          <w:sz w:val="24"/>
          <w:szCs w:val="24"/>
          <w:lang w:val="uk-UA"/>
          <w14:ligatures w14:val="standardContextual"/>
        </w:rPr>
        <w:t xml:space="preserve">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про стан здоров'я та проведене лікування громадянина (виписний епікриз);</w:t>
      </w:r>
    </w:p>
    <w:bookmarkEnd w:id="7"/>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довідку про доходи за шість місяців перед місяцем звернення всіх членів сім’ї;</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довідку про склад сім’ї.</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особам з інвалідністю І-ІІІ групи  по зору: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lastRenderedPageBreak/>
        <w:t xml:space="preserve"> </w:t>
      </w:r>
      <w:proofErr w:type="spellStart"/>
      <w:r w:rsidRPr="009C18D9">
        <w:rPr>
          <w:rFonts w:ascii="Times New Roman" w:eastAsia="Calibri" w:hAnsi="Times New Roman" w:cs="Times New Roman"/>
          <w:kern w:val="2"/>
          <w:sz w:val="24"/>
          <w:szCs w:val="24"/>
          <w:lang w:val="uk-UA"/>
          <w14:ligatures w14:val="standardContextual"/>
        </w:rPr>
        <w:t>-паспорт</w:t>
      </w:r>
      <w:proofErr w:type="spellEnd"/>
      <w:r w:rsidRPr="009C18D9">
        <w:rPr>
          <w:rFonts w:ascii="Times New Roman" w:eastAsia="Calibri" w:hAnsi="Times New Roman" w:cs="Times New Roman"/>
          <w:kern w:val="2"/>
          <w:sz w:val="24"/>
          <w:szCs w:val="24"/>
          <w:lang w:val="uk-UA"/>
          <w14:ligatures w14:val="standardContextual"/>
        </w:rPr>
        <w:t xml:space="preserve">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МСЕК про встановлення групи інвалідності.</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особам, які постраждали від Чорнобильської катастрофи:</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bookmarkStart w:id="8" w:name="_Hlk134625593"/>
      <w:r w:rsidRPr="009C18D9">
        <w:rPr>
          <w:rFonts w:ascii="Times New Roman" w:eastAsia="Calibri" w:hAnsi="Times New Roman" w:cs="Times New Roman"/>
          <w:kern w:val="2"/>
          <w:sz w:val="24"/>
          <w:szCs w:val="24"/>
          <w:lang w:val="uk-UA"/>
          <w14:ligatures w14:val="standardContextual"/>
        </w:rPr>
        <w:t xml:space="preserve">  -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roofErr w:type="spellStart"/>
      <w:r w:rsidRPr="009C18D9">
        <w:rPr>
          <w:rFonts w:ascii="Times New Roman" w:eastAsia="Calibri" w:hAnsi="Times New Roman" w:cs="Times New Roman"/>
          <w:kern w:val="2"/>
          <w:sz w:val="24"/>
          <w:szCs w:val="24"/>
          <w:lang w:val="uk-UA"/>
          <w14:ligatures w14:val="standardContextual"/>
        </w:rPr>
        <w:t>-паспорт</w:t>
      </w:r>
      <w:proofErr w:type="spellEnd"/>
      <w:r w:rsidRPr="009C18D9">
        <w:rPr>
          <w:rFonts w:ascii="Times New Roman" w:eastAsia="Calibri" w:hAnsi="Times New Roman" w:cs="Times New Roman"/>
          <w:kern w:val="2"/>
          <w:sz w:val="24"/>
          <w:szCs w:val="24"/>
          <w:lang w:val="uk-UA"/>
          <w14:ligatures w14:val="standardContextual"/>
        </w:rPr>
        <w:t xml:space="preserve">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посвідчення;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особам, для подолання наслідків пожежі, стихійного лиха, екологічних, техногенних аварій та катастроф внаслідок воєнних дій чи збройних конфліктів</w:t>
      </w:r>
      <w:r w:rsidRPr="009C18D9">
        <w:rPr>
          <w:rFonts w:ascii="Times New Roman" w:eastAsia="Calibri" w:hAnsi="Times New Roman" w:cs="Times New Roman"/>
          <w:bCs/>
          <w:kern w:val="2"/>
          <w:sz w:val="24"/>
          <w:szCs w:val="24"/>
          <w:lang w:val="uk-UA"/>
          <w14:ligatures w14:val="standardContextual"/>
        </w:rPr>
        <w:t>:</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roofErr w:type="spellStart"/>
      <w:r w:rsidRPr="009C18D9">
        <w:rPr>
          <w:rFonts w:ascii="Times New Roman" w:eastAsia="Calibri" w:hAnsi="Times New Roman" w:cs="Times New Roman"/>
          <w:kern w:val="2"/>
          <w:sz w:val="24"/>
          <w:szCs w:val="24"/>
          <w:lang w:val="uk-UA"/>
          <w14:ligatures w14:val="standardContextual"/>
        </w:rPr>
        <w:t>-паспорт</w:t>
      </w:r>
      <w:proofErr w:type="spellEnd"/>
      <w:r w:rsidRPr="009C18D9">
        <w:rPr>
          <w:rFonts w:ascii="Times New Roman" w:eastAsia="Calibri" w:hAnsi="Times New Roman" w:cs="Times New Roman"/>
          <w:kern w:val="2"/>
          <w:sz w:val="24"/>
          <w:szCs w:val="24"/>
          <w:lang w:val="uk-UA"/>
          <w14:ligatures w14:val="standardContextual"/>
        </w:rPr>
        <w:t xml:space="preserve">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акт обстеження наслідків пожежі, стихійного лиха чи надзвичайної ситуації, складений комісією сільської ради спільно з депутатом та завірений в установленому порядку;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копія акту територіального підрозділу ДСНС, який підтверджує наслідки пожежі, стихійного лиха чи надзвичайних ситуацій;</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акт обстеження господарства;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пред’являється оригінал та надається копія видаткових накладних, товарних чеків чи інших рахунків, сплачених на відновлення матеріальної шкоди.</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на поховання працездатних осіб, зареєстрованих на території Великосеверинівської сільської ради, які на момент смерті не були працевлаштовані та не мали трудового стажу, необхідного для призначення одноразової допомоги на поховання: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w:t>
      </w:r>
      <w:r w:rsidRPr="009C18D9">
        <w:rPr>
          <w:rFonts w:ascii="Times New Roman" w:eastAsia="Calibri" w:hAnsi="Times New Roman" w:cs="Times New Roman"/>
          <w:kern w:val="2"/>
          <w:sz w:val="24"/>
          <w:szCs w:val="24"/>
          <w:lang w:val="uk-UA"/>
          <w14:ligatures w14:val="standardContextual"/>
        </w:rPr>
        <w:t xml:space="preserve"> </w:t>
      </w:r>
      <w:bookmarkStart w:id="9" w:name="_Hlk138152354"/>
      <w:r w:rsidRPr="009C18D9">
        <w:rPr>
          <w:rFonts w:ascii="Times New Roman" w:eastAsia="Calibri" w:hAnsi="Times New Roman" w:cs="Times New Roman"/>
          <w:kern w:val="2"/>
          <w:sz w:val="24"/>
          <w:szCs w:val="24"/>
          <w:lang w:val="uk-UA"/>
          <w14:ligatures w14:val="standardContextual"/>
        </w:rPr>
        <w:t xml:space="preserve">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свідоцтво про смерть</w:t>
      </w:r>
      <w:bookmarkEnd w:id="9"/>
      <w:r w:rsidRPr="009C18D9">
        <w:rPr>
          <w:rFonts w:ascii="Times New Roman" w:eastAsia="Calibri" w:hAnsi="Times New Roman" w:cs="Times New Roman"/>
          <w:kern w:val="2"/>
          <w:sz w:val="24"/>
          <w:szCs w:val="24"/>
          <w:lang w:val="uk-UA"/>
          <w14:ligatures w14:val="standardContextual"/>
        </w:rPr>
        <w:t>;</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документи, що підтверджують родинний зв'язок;</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про смерть для отримання одноразової допомоги на поховання.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b/>
          <w:bCs/>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t>Для отримання матеріальної допомоги працівникам соціальної сфери, які проживають та працюють на території сільської ради безперервно більше 30 років:</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копія трудової книжки.</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b/>
          <w:bCs/>
          <w:kern w:val="2"/>
          <w:sz w:val="24"/>
          <w:szCs w:val="24"/>
          <w:lang w:val="uk-UA"/>
          <w14:ligatures w14:val="standardContextual"/>
        </w:rPr>
        <w:lastRenderedPageBreak/>
        <w:t>Для отримання матеріальної допомоги на поховання при народження дитини мертвою у разі якщо смерть дитини настала на першому тижні життя, у розмірі прожиткового мінімумі для дітей віком до 6 років</w:t>
      </w:r>
      <w:r w:rsidRPr="009C18D9">
        <w:rPr>
          <w:rFonts w:ascii="Times New Roman" w:eastAsia="Calibri" w:hAnsi="Times New Roman" w:cs="Times New Roman"/>
          <w:kern w:val="2"/>
          <w:sz w:val="24"/>
          <w:szCs w:val="24"/>
          <w:lang w:val="uk-UA"/>
          <w14:ligatures w14:val="standardContextual"/>
        </w:rPr>
        <w:t>:</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заяву на ім’я Великосеверинівського сільського голови; </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 паспорт або пластикову картку типу ID-1 паспорта і його копію та витяг з реєстру,   що   засвідчує адресу його місця проживання;</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ксерокопія довідки про присвоєння ідентифікаційного коду;</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довідка з банку про реквізити відкритого рахунку картки для виплат заявника;</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свідоцтво про смерть;</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витяг з Державного реєстру актів цивільного стану громадян про державну реєстрацію народження відповідно до статей 126, 133, 135 Сімейного кодексу України.</w:t>
      </w:r>
    </w:p>
    <w:p w:rsidR="009C18D9" w:rsidRPr="009C18D9" w:rsidRDefault="009C18D9" w:rsidP="009C18D9">
      <w:pPr>
        <w:tabs>
          <w:tab w:val="left" w:pos="7080"/>
        </w:tabs>
        <w:spacing w:after="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center"/>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________________________________</w:t>
      </w: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bookmarkEnd w:id="8"/>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b/>
          <w:kern w:val="2"/>
          <w:sz w:val="24"/>
          <w:szCs w:val="24"/>
          <w:lang w:val="uk-UA"/>
          <w14:ligatures w14:val="standardContextual"/>
        </w:rPr>
      </w:pPr>
    </w:p>
    <w:p w:rsidR="009C18D9" w:rsidRPr="009C18D9" w:rsidRDefault="009C18D9" w:rsidP="009C18D9">
      <w:pPr>
        <w:tabs>
          <w:tab w:val="left" w:pos="7080"/>
        </w:tabs>
        <w:spacing w:after="160" w:line="259" w:lineRule="auto"/>
        <w:jc w:val="both"/>
        <w:rPr>
          <w:rFonts w:ascii="Times New Roman" w:eastAsia="Calibri" w:hAnsi="Times New Roman" w:cs="Times New Roman"/>
          <w:kern w:val="2"/>
          <w:sz w:val="24"/>
          <w:szCs w:val="24"/>
          <w:lang w:val="uk-UA"/>
          <w14:ligatures w14:val="standardContextual"/>
        </w:rPr>
      </w:pPr>
      <w:r w:rsidRPr="009C18D9">
        <w:rPr>
          <w:rFonts w:ascii="Times New Roman" w:eastAsia="Calibri" w:hAnsi="Times New Roman" w:cs="Times New Roman"/>
          <w:kern w:val="2"/>
          <w:sz w:val="24"/>
          <w:szCs w:val="24"/>
          <w:lang w:val="uk-UA"/>
          <w14:ligatures w14:val="standardContextual"/>
        </w:rPr>
        <w:t xml:space="preserve">    </w:t>
      </w:r>
    </w:p>
    <w:p w:rsidR="00A0510B" w:rsidRDefault="00A0510B"/>
    <w:sectPr w:rsidR="00A0510B" w:rsidSect="009606E9">
      <w:headerReference w:type="default" r:id="rId6"/>
      <w:headerReference w:type="first" r:id="rId7"/>
      <w:pgSz w:w="11906" w:h="16838"/>
      <w:pgMar w:top="426" w:right="850" w:bottom="568" w:left="1276" w:header="170"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124"/>
      <w:docPartObj>
        <w:docPartGallery w:val="Page Numbers (Top of Page)"/>
        <w:docPartUnique/>
      </w:docPartObj>
    </w:sdtPr>
    <w:sdtEndPr>
      <w:rPr>
        <w:rFonts w:ascii="Times New Roman" w:hAnsi="Times New Roman" w:cs="Times New Roman"/>
      </w:rPr>
    </w:sdtEndPr>
    <w:sdtContent>
      <w:p w:rsidR="00444456" w:rsidRPr="00444456" w:rsidRDefault="009C18D9" w:rsidP="00444456">
        <w:pPr>
          <w:pStyle w:val="a3"/>
          <w:jc w:val="center"/>
          <w:rPr>
            <w:rFonts w:ascii="Times New Roman" w:hAnsi="Times New Roman" w:cs="Times New Roman"/>
          </w:rPr>
        </w:pPr>
        <w:r w:rsidRPr="00444456">
          <w:rPr>
            <w:rFonts w:ascii="Times New Roman" w:hAnsi="Times New Roman" w:cs="Times New Roman"/>
          </w:rPr>
          <w:fldChar w:fldCharType="begin"/>
        </w:r>
        <w:r w:rsidRPr="00444456">
          <w:rPr>
            <w:rFonts w:ascii="Times New Roman" w:hAnsi="Times New Roman" w:cs="Times New Roman"/>
          </w:rPr>
          <w:instrText>PAGE   \* MERGEFORMAT</w:instrText>
        </w:r>
        <w:r w:rsidRPr="00444456">
          <w:rPr>
            <w:rFonts w:ascii="Times New Roman" w:hAnsi="Times New Roman" w:cs="Times New Roman"/>
          </w:rPr>
          <w:fldChar w:fldCharType="separate"/>
        </w:r>
        <w:r>
          <w:rPr>
            <w:rFonts w:ascii="Times New Roman" w:hAnsi="Times New Roman" w:cs="Times New Roman"/>
            <w:noProof/>
          </w:rPr>
          <w:t>3</w:t>
        </w:r>
        <w:r w:rsidRPr="0044445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E9" w:rsidRPr="009606E9" w:rsidRDefault="009C18D9" w:rsidP="009606E9">
    <w:pPr>
      <w:pStyle w:val="a3"/>
      <w:jc w:val="right"/>
      <w:rPr>
        <w:rFonts w:ascii="Times New Roman" w:hAnsi="Times New Roman" w:cs="Times New Roman"/>
        <w:sz w:val="28"/>
        <w:szCs w:val="28"/>
      </w:rPr>
    </w:pPr>
    <w:r w:rsidRPr="009606E9">
      <w:rPr>
        <w:rFonts w:ascii="Times New Roman" w:hAnsi="Times New Roman" w:cs="Times New Roman"/>
        <w:sz w:val="28"/>
        <w:szCs w:val="28"/>
      </w:rPr>
      <w:t>ПРОЄКТ</w:t>
    </w:r>
  </w:p>
  <w:p w:rsidR="009606E9" w:rsidRDefault="009C18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293"/>
    <w:multiLevelType w:val="hybridMultilevel"/>
    <w:tmpl w:val="93885B9C"/>
    <w:lvl w:ilvl="0" w:tplc="19705636">
      <w:start w:val="5"/>
      <w:numFmt w:val="bullet"/>
      <w:lvlText w:val="-"/>
      <w:lvlJc w:val="left"/>
      <w:pPr>
        <w:ind w:left="480" w:hanging="360"/>
      </w:pPr>
      <w:rPr>
        <w:rFonts w:ascii="Times New Roman" w:eastAsiaTheme="minorHAnsi"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D9"/>
    <w:rsid w:val="009C18D9"/>
    <w:rsid w:val="00A05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18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18D9"/>
  </w:style>
  <w:style w:type="table" w:styleId="a5">
    <w:name w:val="Table Grid"/>
    <w:basedOn w:val="a1"/>
    <w:uiPriority w:val="39"/>
    <w:rsid w:val="009C18D9"/>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18D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18D9"/>
  </w:style>
  <w:style w:type="table" w:styleId="a5">
    <w:name w:val="Table Grid"/>
    <w:basedOn w:val="a1"/>
    <w:uiPriority w:val="39"/>
    <w:rsid w:val="009C18D9"/>
    <w:pPr>
      <w:spacing w:after="0" w:line="240" w:lineRule="auto"/>
    </w:pPr>
    <w:rPr>
      <w:kern w:val="2"/>
      <w:lang w:val="uk-UA"/>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11867</Words>
  <Characters>6765</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2023-12-26T13:02:00Z</dcterms:created>
  <dcterms:modified xsi:type="dcterms:W3CDTF">2023-12-26T13:02:00Z</dcterms:modified>
</cp:coreProperties>
</file>