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B1" w:rsidRPr="000C2E2D" w:rsidRDefault="006B5BB1" w:rsidP="006B5BB1">
      <w:pPr>
        <w:jc w:val="center"/>
        <w:rPr>
          <w:b/>
          <w:sz w:val="28"/>
          <w:szCs w:val="28"/>
          <w:lang w:val="uk-UA"/>
        </w:rPr>
      </w:pPr>
    </w:p>
    <w:p w:rsidR="006B5BB1" w:rsidRPr="000C2E2D" w:rsidRDefault="006B5BB1" w:rsidP="006B5BB1">
      <w:pPr>
        <w:jc w:val="center"/>
        <w:rPr>
          <w:b/>
          <w:sz w:val="28"/>
          <w:szCs w:val="28"/>
          <w:lang w:val="uk-UA"/>
        </w:rPr>
      </w:pPr>
    </w:p>
    <w:p w:rsidR="006B5BB1" w:rsidRPr="000C2E2D" w:rsidRDefault="006B5BB1" w:rsidP="006B5BB1">
      <w:pPr>
        <w:jc w:val="both"/>
        <w:rPr>
          <w:color w:val="000000"/>
          <w:lang w:val="uk-UA"/>
        </w:rPr>
      </w:pPr>
      <w:r w:rsidRPr="000C2E2D">
        <w:rPr>
          <w:color w:val="000000"/>
          <w:lang w:val="uk-UA"/>
        </w:rPr>
        <w:t xml:space="preserve">                                                                                                               Додаток 1 </w:t>
      </w:r>
    </w:p>
    <w:p w:rsidR="006B5BB1" w:rsidRPr="000C2E2D" w:rsidRDefault="006B5BB1" w:rsidP="006B5BB1">
      <w:pPr>
        <w:ind w:left="7020" w:hanging="357"/>
        <w:jc w:val="both"/>
        <w:rPr>
          <w:b/>
          <w:sz w:val="28"/>
          <w:szCs w:val="28"/>
          <w:lang w:val="uk-UA"/>
        </w:rPr>
      </w:pPr>
      <w:r w:rsidRPr="000C2E2D">
        <w:rPr>
          <w:color w:val="000000"/>
          <w:lang w:val="uk-UA"/>
        </w:rPr>
        <w:t xml:space="preserve">До Програми  </w:t>
      </w:r>
    </w:p>
    <w:p w:rsidR="006B5BB1" w:rsidRPr="000C2E2D" w:rsidRDefault="006B5BB1" w:rsidP="006B5BB1">
      <w:pPr>
        <w:jc w:val="center"/>
        <w:rPr>
          <w:b/>
          <w:sz w:val="28"/>
          <w:szCs w:val="28"/>
          <w:lang w:val="uk-UA"/>
        </w:rPr>
      </w:pPr>
      <w:r w:rsidRPr="000C2E2D">
        <w:rPr>
          <w:b/>
          <w:sz w:val="28"/>
          <w:szCs w:val="28"/>
          <w:lang w:val="uk-UA"/>
        </w:rPr>
        <w:t>ПАСПОРТ</w:t>
      </w:r>
    </w:p>
    <w:p w:rsidR="006B5BB1" w:rsidRPr="000C2E2D" w:rsidRDefault="006B5BB1" w:rsidP="006B5BB1">
      <w:pPr>
        <w:jc w:val="center"/>
        <w:rPr>
          <w:b/>
          <w:color w:val="000000"/>
          <w:sz w:val="28"/>
          <w:szCs w:val="28"/>
          <w:lang w:val="uk-UA"/>
        </w:rPr>
      </w:pPr>
      <w:r w:rsidRPr="000C2E2D">
        <w:rPr>
          <w:b/>
          <w:sz w:val="28"/>
          <w:szCs w:val="28"/>
          <w:lang w:val="uk-UA"/>
        </w:rPr>
        <w:t>Програми  розвитку Земельних в</w:t>
      </w:r>
      <w:r w:rsidRPr="000C2E2D">
        <w:rPr>
          <w:b/>
          <w:sz w:val="28"/>
          <w:szCs w:val="28"/>
          <w:bdr w:val="none" w:sz="0" w:space="0" w:color="auto" w:frame="1"/>
          <w:lang w:val="uk-UA"/>
        </w:rPr>
        <w:t xml:space="preserve">ідносин та </w:t>
      </w:r>
      <w:r w:rsidRPr="000C2E2D">
        <w:rPr>
          <w:b/>
          <w:sz w:val="28"/>
          <w:szCs w:val="28"/>
          <w:lang w:val="uk-UA"/>
        </w:rPr>
        <w:t xml:space="preserve">розроблення Комплексного плану просторового розвитку території територіальної громади, генеральних планів населених пунктів, детальних планів території </w:t>
      </w:r>
      <w:r w:rsidRPr="000C2E2D">
        <w:rPr>
          <w:b/>
          <w:sz w:val="28"/>
          <w:szCs w:val="28"/>
          <w:bdr w:val="none" w:sz="0" w:space="0" w:color="auto" w:frame="1"/>
          <w:lang w:val="uk-UA"/>
        </w:rPr>
        <w:t>Великосеверинівської сільської ради на 2024 –2026 роки</w:t>
      </w:r>
    </w:p>
    <w:p w:rsidR="006B5BB1" w:rsidRPr="000C2E2D" w:rsidRDefault="006B5BB1" w:rsidP="006B5BB1">
      <w:pPr>
        <w:ind w:firstLine="720"/>
        <w:jc w:val="center"/>
        <w:rPr>
          <w:sz w:val="28"/>
          <w:szCs w:val="28"/>
          <w:lang w:val="uk-UA"/>
        </w:rPr>
      </w:pPr>
    </w:p>
    <w:tbl>
      <w:tblPr>
        <w:tblW w:w="0" w:type="auto"/>
        <w:tblInd w:w="-35" w:type="dxa"/>
        <w:tblLayout w:type="fixed"/>
        <w:tblLook w:val="0000" w:firstRow="0" w:lastRow="0" w:firstColumn="0" w:lastColumn="0" w:noHBand="0" w:noVBand="0"/>
      </w:tblPr>
      <w:tblGrid>
        <w:gridCol w:w="668"/>
        <w:gridCol w:w="6208"/>
        <w:gridCol w:w="2634"/>
      </w:tblGrid>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1.</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Ініціатор розроблення програми</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tabs>
                <w:tab w:val="left" w:pos="7088"/>
              </w:tabs>
              <w:rPr>
                <w:sz w:val="28"/>
                <w:szCs w:val="28"/>
                <w:lang w:val="uk-UA"/>
              </w:rPr>
            </w:pPr>
            <w:r w:rsidRPr="000C2E2D">
              <w:rPr>
                <w:sz w:val="28"/>
                <w:szCs w:val="28"/>
                <w:lang w:val="uk-UA"/>
              </w:rPr>
              <w:t>Відділ земельних відносин, комунальної</w:t>
            </w:r>
          </w:p>
          <w:p w:rsidR="006B5BB1" w:rsidRPr="000C2E2D" w:rsidRDefault="006B5BB1" w:rsidP="00236EE6">
            <w:pPr>
              <w:tabs>
                <w:tab w:val="left" w:pos="7088"/>
              </w:tabs>
              <w:rPr>
                <w:sz w:val="28"/>
                <w:szCs w:val="28"/>
                <w:lang w:val="uk-UA"/>
              </w:rPr>
            </w:pPr>
            <w:r w:rsidRPr="000C2E2D">
              <w:rPr>
                <w:sz w:val="28"/>
                <w:szCs w:val="28"/>
                <w:lang w:val="uk-UA"/>
              </w:rPr>
              <w:t xml:space="preserve">власності, інфраструктури та </w:t>
            </w:r>
            <w:proofErr w:type="spellStart"/>
            <w:r w:rsidRPr="000C2E2D">
              <w:rPr>
                <w:sz w:val="28"/>
                <w:szCs w:val="28"/>
                <w:lang w:val="uk-UA"/>
              </w:rPr>
              <w:t>житлово-</w:t>
            </w:r>
            <w:proofErr w:type="spellEnd"/>
          </w:p>
          <w:p w:rsidR="006B5BB1" w:rsidRPr="000C2E2D" w:rsidRDefault="006B5BB1" w:rsidP="00236EE6">
            <w:pPr>
              <w:snapToGrid w:val="0"/>
              <w:rPr>
                <w:sz w:val="28"/>
                <w:szCs w:val="28"/>
                <w:lang w:val="uk-UA"/>
              </w:rPr>
            </w:pPr>
            <w:r w:rsidRPr="000C2E2D">
              <w:rPr>
                <w:sz w:val="28"/>
                <w:szCs w:val="28"/>
                <w:lang w:val="uk-UA"/>
              </w:rPr>
              <w:t>комунального господарства Великосеверинівської сільської ради</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2.</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Розробник програми</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tabs>
                <w:tab w:val="left" w:pos="7088"/>
              </w:tabs>
              <w:rPr>
                <w:sz w:val="28"/>
                <w:szCs w:val="28"/>
                <w:lang w:val="uk-UA"/>
              </w:rPr>
            </w:pPr>
            <w:r w:rsidRPr="000C2E2D">
              <w:rPr>
                <w:sz w:val="28"/>
                <w:szCs w:val="28"/>
                <w:lang w:val="uk-UA"/>
              </w:rPr>
              <w:t>Відділ земельних відносин, комунальної</w:t>
            </w:r>
          </w:p>
          <w:p w:rsidR="006B5BB1" w:rsidRPr="000C2E2D" w:rsidRDefault="006B5BB1" w:rsidP="00236EE6">
            <w:pPr>
              <w:tabs>
                <w:tab w:val="left" w:pos="7088"/>
              </w:tabs>
              <w:rPr>
                <w:sz w:val="28"/>
                <w:szCs w:val="28"/>
                <w:lang w:val="uk-UA"/>
              </w:rPr>
            </w:pPr>
            <w:r w:rsidRPr="000C2E2D">
              <w:rPr>
                <w:sz w:val="28"/>
                <w:szCs w:val="28"/>
                <w:lang w:val="uk-UA"/>
              </w:rPr>
              <w:t xml:space="preserve">власності, інфраструктури та </w:t>
            </w:r>
            <w:proofErr w:type="spellStart"/>
            <w:r w:rsidRPr="000C2E2D">
              <w:rPr>
                <w:sz w:val="28"/>
                <w:szCs w:val="28"/>
                <w:lang w:val="uk-UA"/>
              </w:rPr>
              <w:t>житлово-</w:t>
            </w:r>
            <w:proofErr w:type="spellEnd"/>
          </w:p>
          <w:p w:rsidR="006B5BB1" w:rsidRPr="000C2E2D" w:rsidRDefault="006B5BB1" w:rsidP="00236EE6">
            <w:pPr>
              <w:snapToGrid w:val="0"/>
              <w:rPr>
                <w:sz w:val="28"/>
                <w:szCs w:val="28"/>
                <w:lang w:val="uk-UA"/>
              </w:rPr>
            </w:pPr>
            <w:r w:rsidRPr="000C2E2D">
              <w:rPr>
                <w:sz w:val="28"/>
                <w:szCs w:val="28"/>
                <w:lang w:val="uk-UA"/>
              </w:rPr>
              <w:t>комунального господарства Великосеверинівської сільської ради</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3.</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Співрозробники програми (у разі наявності)</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t>-</w:t>
            </w:r>
          </w:p>
        </w:tc>
      </w:tr>
      <w:tr w:rsidR="006B5BB1" w:rsidRPr="000C2E2D" w:rsidTr="00236EE6">
        <w:tc>
          <w:tcPr>
            <w:tcW w:w="668" w:type="dxa"/>
            <w:tcBorders>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4.</w:t>
            </w:r>
          </w:p>
        </w:tc>
        <w:tc>
          <w:tcPr>
            <w:tcW w:w="6208" w:type="dxa"/>
            <w:tcBorders>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Головний розпорядник коштів</w:t>
            </w:r>
          </w:p>
        </w:tc>
        <w:tc>
          <w:tcPr>
            <w:tcW w:w="2634" w:type="dxa"/>
            <w:tcBorders>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t>Великосеверинівська сільська рада</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5.</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Відповідальний виконавець програми</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tabs>
                <w:tab w:val="left" w:pos="7088"/>
              </w:tabs>
              <w:rPr>
                <w:sz w:val="28"/>
                <w:szCs w:val="28"/>
                <w:lang w:val="uk-UA"/>
              </w:rPr>
            </w:pPr>
            <w:r w:rsidRPr="000C2E2D">
              <w:rPr>
                <w:sz w:val="28"/>
                <w:szCs w:val="28"/>
                <w:lang w:val="uk-UA"/>
              </w:rPr>
              <w:t>Відділ земельних відносин, комунальної</w:t>
            </w:r>
          </w:p>
          <w:p w:rsidR="006B5BB1" w:rsidRPr="000C2E2D" w:rsidRDefault="006B5BB1" w:rsidP="00236EE6">
            <w:pPr>
              <w:tabs>
                <w:tab w:val="left" w:pos="7088"/>
              </w:tabs>
              <w:rPr>
                <w:sz w:val="28"/>
                <w:szCs w:val="28"/>
                <w:lang w:val="uk-UA"/>
              </w:rPr>
            </w:pPr>
            <w:r w:rsidRPr="000C2E2D">
              <w:rPr>
                <w:sz w:val="28"/>
                <w:szCs w:val="28"/>
                <w:lang w:val="uk-UA"/>
              </w:rPr>
              <w:t xml:space="preserve">власності, інфраструктури та </w:t>
            </w:r>
            <w:proofErr w:type="spellStart"/>
            <w:r w:rsidRPr="000C2E2D">
              <w:rPr>
                <w:sz w:val="28"/>
                <w:szCs w:val="28"/>
                <w:lang w:val="uk-UA"/>
              </w:rPr>
              <w:t>житлово-</w:t>
            </w:r>
            <w:proofErr w:type="spellEnd"/>
          </w:p>
          <w:p w:rsidR="006B5BB1" w:rsidRPr="000C2E2D" w:rsidRDefault="006B5BB1" w:rsidP="00236EE6">
            <w:pPr>
              <w:snapToGrid w:val="0"/>
              <w:rPr>
                <w:sz w:val="28"/>
                <w:szCs w:val="28"/>
                <w:lang w:val="uk-UA"/>
              </w:rPr>
            </w:pPr>
            <w:r w:rsidRPr="000C2E2D">
              <w:rPr>
                <w:sz w:val="28"/>
                <w:szCs w:val="28"/>
                <w:lang w:val="uk-UA"/>
              </w:rPr>
              <w:t>комунального господарства Великосеверинівської сільської ради</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6.</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Учасники програми</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tabs>
                <w:tab w:val="left" w:pos="7088"/>
              </w:tabs>
              <w:rPr>
                <w:sz w:val="28"/>
                <w:szCs w:val="28"/>
                <w:lang w:val="uk-UA"/>
              </w:rPr>
            </w:pPr>
            <w:r w:rsidRPr="000C2E2D">
              <w:rPr>
                <w:sz w:val="28"/>
                <w:szCs w:val="28"/>
                <w:lang w:val="uk-UA"/>
              </w:rPr>
              <w:t>Фінансовий відділ</w:t>
            </w:r>
          </w:p>
          <w:p w:rsidR="006B5BB1" w:rsidRPr="000C2E2D" w:rsidRDefault="006B5BB1" w:rsidP="00236EE6">
            <w:pPr>
              <w:snapToGrid w:val="0"/>
              <w:rPr>
                <w:sz w:val="28"/>
                <w:szCs w:val="28"/>
                <w:lang w:val="uk-UA"/>
              </w:rPr>
            </w:pP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7.</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Термін реалізації програми</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lastRenderedPageBreak/>
              <w:t>2024 – 2026 роки</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lastRenderedPageBreak/>
              <w:t>8.</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Етапи виконання програми (для довгострокових програм)</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t>-</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9.</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Загальний обсяг фінансових ресурсів, необхідних для реалізації програми, всього</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vertAlign w:val="superscript"/>
                <w:lang w:val="uk-UA"/>
              </w:rPr>
            </w:pPr>
            <w:r w:rsidRPr="000C2E2D">
              <w:rPr>
                <w:sz w:val="28"/>
                <w:szCs w:val="28"/>
                <w:lang w:val="uk-UA"/>
              </w:rPr>
              <w:t xml:space="preserve">8 500,0 тис. грн. </w:t>
            </w:r>
            <w:r w:rsidRPr="000C2E2D">
              <w:rPr>
                <w:sz w:val="28"/>
                <w:szCs w:val="28"/>
                <w:vertAlign w:val="superscript"/>
                <w:lang w:val="uk-UA"/>
              </w:rPr>
              <w:t>1</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jc w:val="center"/>
              <w:rPr>
                <w:sz w:val="28"/>
                <w:szCs w:val="28"/>
                <w:lang w:val="uk-UA"/>
              </w:rPr>
            </w:pP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у тому числі:</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9.1.</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 xml:space="preserve">коштів місцевого бюджету </w:t>
            </w:r>
          </w:p>
          <w:p w:rsidR="006B5BB1" w:rsidRPr="000C2E2D" w:rsidRDefault="006B5BB1" w:rsidP="00236EE6">
            <w:pPr>
              <w:rPr>
                <w:sz w:val="28"/>
                <w:szCs w:val="28"/>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t>4500,0 тис.  грн.</w:t>
            </w:r>
          </w:p>
        </w:tc>
      </w:tr>
      <w:tr w:rsidR="006B5BB1" w:rsidRPr="000C2E2D" w:rsidTr="00236EE6">
        <w:tc>
          <w:tcPr>
            <w:tcW w:w="66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sz w:val="28"/>
                <w:szCs w:val="28"/>
                <w:lang w:val="uk-UA"/>
              </w:rPr>
            </w:pPr>
            <w:r w:rsidRPr="000C2E2D">
              <w:rPr>
                <w:sz w:val="28"/>
                <w:szCs w:val="28"/>
                <w:lang w:val="uk-UA"/>
              </w:rPr>
              <w:t>9.2.</w:t>
            </w:r>
          </w:p>
        </w:tc>
        <w:tc>
          <w:tcPr>
            <w:tcW w:w="6208"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sz w:val="28"/>
                <w:szCs w:val="28"/>
                <w:lang w:val="uk-UA"/>
              </w:rPr>
            </w:pPr>
            <w:r w:rsidRPr="000C2E2D">
              <w:rPr>
                <w:sz w:val="28"/>
                <w:szCs w:val="28"/>
                <w:lang w:val="uk-UA"/>
              </w:rPr>
              <w:t xml:space="preserve">коштів інших джерел </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sz w:val="28"/>
                <w:szCs w:val="28"/>
                <w:lang w:val="uk-UA"/>
              </w:rPr>
            </w:pPr>
            <w:r w:rsidRPr="000C2E2D">
              <w:rPr>
                <w:sz w:val="28"/>
                <w:szCs w:val="28"/>
                <w:lang w:val="uk-UA"/>
              </w:rPr>
              <w:t xml:space="preserve">4000,0 </w:t>
            </w:r>
            <w:proofErr w:type="spellStart"/>
            <w:r w:rsidRPr="000C2E2D">
              <w:rPr>
                <w:sz w:val="28"/>
                <w:szCs w:val="28"/>
                <w:lang w:val="uk-UA"/>
              </w:rPr>
              <w:t>грн.грн</w:t>
            </w:r>
            <w:proofErr w:type="spellEnd"/>
          </w:p>
        </w:tc>
      </w:tr>
    </w:tbl>
    <w:p w:rsidR="006B5BB1" w:rsidRPr="000C2E2D" w:rsidRDefault="006B5BB1" w:rsidP="006B5BB1">
      <w:pPr>
        <w:jc w:val="center"/>
        <w:rPr>
          <w:b/>
          <w:lang w:val="uk-UA"/>
        </w:rPr>
      </w:pPr>
    </w:p>
    <w:p w:rsidR="006B5BB1" w:rsidRPr="000C2E2D" w:rsidRDefault="006B5BB1" w:rsidP="006B5BB1">
      <w:pPr>
        <w:pStyle w:val="11"/>
        <w:ind w:left="0"/>
        <w:jc w:val="center"/>
        <w:rPr>
          <w:rFonts w:ascii="Times New Roman" w:hAnsi="Times New Roman" w:cs="Times New Roman"/>
          <w:b/>
          <w:sz w:val="28"/>
          <w:szCs w:val="28"/>
        </w:rPr>
      </w:pPr>
      <w:r w:rsidRPr="000C2E2D">
        <w:rPr>
          <w:rFonts w:ascii="Times New Roman" w:hAnsi="Times New Roman" w:cs="Times New Roman"/>
          <w:b/>
          <w:sz w:val="28"/>
          <w:szCs w:val="28"/>
        </w:rPr>
        <w:t>_____________________________________________</w:t>
      </w:r>
    </w:p>
    <w:p w:rsidR="006B5BB1" w:rsidRPr="000C2E2D" w:rsidRDefault="006B5BB1" w:rsidP="006B5BB1">
      <w:pPr>
        <w:rPr>
          <w:sz w:val="20"/>
          <w:szCs w:val="20"/>
          <w:vertAlign w:val="superscript"/>
          <w:lang w:val="uk-UA"/>
        </w:rPr>
      </w:pPr>
    </w:p>
    <w:p w:rsidR="006B5BB1" w:rsidRPr="000C2E2D" w:rsidRDefault="006B5BB1" w:rsidP="006B5BB1">
      <w:pPr>
        <w:rPr>
          <w:b/>
          <w:sz w:val="20"/>
          <w:szCs w:val="20"/>
          <w:lang w:val="uk-UA"/>
        </w:rPr>
      </w:pPr>
      <w:r w:rsidRPr="000C2E2D">
        <w:rPr>
          <w:b/>
          <w:sz w:val="20"/>
          <w:szCs w:val="20"/>
          <w:vertAlign w:val="superscript"/>
          <w:lang w:val="uk-UA"/>
        </w:rPr>
        <w:t>1</w:t>
      </w:r>
      <w:r w:rsidRPr="000C2E2D">
        <w:rPr>
          <w:b/>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C2E2D" w:rsidRPr="000C2E2D" w:rsidRDefault="000C2E2D" w:rsidP="006B5BB1">
      <w:pPr>
        <w:rPr>
          <w:b/>
          <w:sz w:val="20"/>
          <w:szCs w:val="20"/>
          <w:lang w:val="uk-UA"/>
        </w:rPr>
      </w:pPr>
    </w:p>
    <w:p w:rsidR="000C2E2D" w:rsidRPr="000C2E2D" w:rsidRDefault="000C2E2D" w:rsidP="006B5BB1">
      <w:pPr>
        <w:rPr>
          <w:b/>
          <w:sz w:val="20"/>
          <w:szCs w:val="20"/>
          <w:lang w:val="uk-UA"/>
        </w:rPr>
      </w:pPr>
    </w:p>
    <w:p w:rsidR="000C2E2D" w:rsidRPr="000C2E2D" w:rsidRDefault="000C2E2D" w:rsidP="000C2E2D">
      <w:pPr>
        <w:numPr>
          <w:ilvl w:val="0"/>
          <w:numId w:val="1"/>
        </w:numPr>
        <w:shd w:val="clear" w:color="auto" w:fill="FFFFFF"/>
        <w:spacing w:after="200" w:line="276" w:lineRule="auto"/>
        <w:jc w:val="both"/>
        <w:rPr>
          <w:rFonts w:eastAsia="Calibri"/>
          <w:b/>
          <w:bCs/>
          <w:color w:val="000000"/>
          <w:sz w:val="28"/>
          <w:szCs w:val="28"/>
          <w:lang w:val="uk-UA"/>
        </w:rPr>
      </w:pPr>
      <w:r w:rsidRPr="000C2E2D">
        <w:rPr>
          <w:rFonts w:eastAsia="Calibri"/>
          <w:b/>
          <w:bCs/>
          <w:sz w:val="28"/>
          <w:szCs w:val="28"/>
          <w:lang w:val="uk-UA"/>
        </w:rPr>
        <w:t>Визначення проблеми, на розв'язання якої спрямована програма</w:t>
      </w:r>
      <w:r w:rsidRPr="000C2E2D">
        <w:rPr>
          <w:rFonts w:eastAsia="Calibri"/>
          <w:b/>
          <w:bCs/>
          <w:color w:val="000000"/>
          <w:sz w:val="28"/>
          <w:szCs w:val="28"/>
          <w:lang w:val="uk-UA"/>
        </w:rPr>
        <w:t xml:space="preserve"> </w:t>
      </w:r>
    </w:p>
    <w:p w:rsidR="000C2E2D" w:rsidRPr="000C2E2D" w:rsidRDefault="000C2E2D" w:rsidP="000C2E2D">
      <w:pPr>
        <w:shd w:val="clear" w:color="auto" w:fill="FFFFFF"/>
        <w:jc w:val="both"/>
        <w:rPr>
          <w:rFonts w:eastAsia="Calibri"/>
          <w:color w:val="000000"/>
          <w:sz w:val="27"/>
          <w:szCs w:val="27"/>
          <w:lang w:val="uk-UA"/>
        </w:rPr>
      </w:pP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 xml:space="preserve">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вжиття превентивних заходів. Ця проблема потребує комплексного розв'язання, а також системного підходу до </w:t>
      </w:r>
      <w:proofErr w:type="spellStart"/>
      <w:r w:rsidRPr="000C2E2D">
        <w:rPr>
          <w:rFonts w:eastAsia="Calibri"/>
          <w:color w:val="000000"/>
          <w:sz w:val="28"/>
          <w:szCs w:val="28"/>
          <w:lang w:val="uk-UA"/>
        </w:rPr>
        <w:t>еколого-економічного</w:t>
      </w:r>
      <w:proofErr w:type="spellEnd"/>
      <w:r w:rsidRPr="000C2E2D">
        <w:rPr>
          <w:rFonts w:eastAsia="Calibri"/>
          <w:color w:val="000000"/>
          <w:sz w:val="28"/>
          <w:szCs w:val="28"/>
          <w:lang w:val="uk-UA"/>
        </w:rPr>
        <w:t xml:space="preserve"> обґрунтування та механізму реалізації, узгодження обсягів наявних земельних ресурсів з їх потребою для розвитку економіки.</w:t>
      </w:r>
    </w:p>
    <w:p w:rsidR="000C2E2D" w:rsidRPr="000C2E2D" w:rsidRDefault="000C2E2D" w:rsidP="000C2E2D">
      <w:pPr>
        <w:ind w:firstLine="708"/>
        <w:jc w:val="both"/>
        <w:rPr>
          <w:color w:val="000000"/>
          <w:sz w:val="28"/>
          <w:szCs w:val="28"/>
          <w:lang w:val="uk-UA"/>
        </w:rPr>
      </w:pPr>
      <w:r w:rsidRPr="000C2E2D">
        <w:rPr>
          <w:color w:val="000000"/>
          <w:sz w:val="28"/>
          <w:szCs w:val="28"/>
          <w:lang w:val="uk-UA"/>
        </w:rPr>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 Дане питання може бути вирішене шляхом розробленням містобудівної документації, а саме  комплексний план просторового розвитку території територіальної громади, генеральні плани населених пунктів, детальні плани, які розробляються з урахуванням даних державного земельного кадастру на актуалізованій картографічній основі в цифровій формі, як просторово орієнтована інформація в державній системі координат на електронних носіях.</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 xml:space="preserve">На теперішній час стан ґрунтів земель критичний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w:t>
      </w:r>
      <w:r w:rsidRPr="000C2E2D">
        <w:rPr>
          <w:rFonts w:eastAsia="Calibri"/>
          <w:color w:val="000000"/>
          <w:sz w:val="28"/>
          <w:szCs w:val="28"/>
          <w:lang w:val="uk-UA"/>
        </w:rPr>
        <w:lastRenderedPageBreak/>
        <w:t xml:space="preserve">меліорації ґрунтів у науково-обґрунтованих обсягах, термінах та дозах, впровадження науково-обґрунтованих сівозмін, елементів </w:t>
      </w:r>
      <w:proofErr w:type="spellStart"/>
      <w:r w:rsidRPr="000C2E2D">
        <w:rPr>
          <w:rFonts w:eastAsia="Calibri"/>
          <w:color w:val="000000"/>
          <w:sz w:val="28"/>
          <w:szCs w:val="28"/>
          <w:lang w:val="uk-UA"/>
        </w:rPr>
        <w:t>біологізацїї</w:t>
      </w:r>
      <w:proofErr w:type="spellEnd"/>
      <w:r w:rsidRPr="000C2E2D">
        <w:rPr>
          <w:rFonts w:eastAsia="Calibri"/>
          <w:color w:val="000000"/>
          <w:sz w:val="28"/>
          <w:szCs w:val="28"/>
          <w:lang w:val="uk-UA"/>
        </w:rPr>
        <w:t xml:space="preserve"> землеробства, ресурсо та енергозберігаючих технологій відтворення родючості ґрунтів і ведення землеробства.</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Перспективним є формування екомережі як єдиної просторової системи ключових, сполучених, буферних та відновлювальних територій.</w:t>
      </w:r>
    </w:p>
    <w:p w:rsidR="000C2E2D" w:rsidRPr="000C2E2D" w:rsidRDefault="000C2E2D" w:rsidP="000C2E2D">
      <w:pPr>
        <w:shd w:val="clear" w:color="auto" w:fill="FFFFFF"/>
        <w:ind w:firstLine="567"/>
        <w:jc w:val="both"/>
        <w:rPr>
          <w:rFonts w:eastAsia="Calibri"/>
          <w:b/>
          <w:bCs/>
          <w:color w:val="000000"/>
          <w:sz w:val="28"/>
          <w:szCs w:val="28"/>
          <w:lang w:val="uk-UA"/>
        </w:rPr>
      </w:pPr>
      <w:r w:rsidRPr="000C2E2D">
        <w:rPr>
          <w:rFonts w:eastAsia="Calibri"/>
          <w:color w:val="000000"/>
          <w:sz w:val="28"/>
          <w:szCs w:val="28"/>
          <w:lang w:val="uk-UA"/>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0C2E2D" w:rsidRPr="000C2E2D" w:rsidRDefault="000C2E2D" w:rsidP="000C2E2D">
      <w:pPr>
        <w:shd w:val="clear" w:color="auto" w:fill="FFFFFF"/>
        <w:ind w:firstLine="567"/>
        <w:jc w:val="center"/>
        <w:rPr>
          <w:rFonts w:eastAsia="Calibri"/>
          <w:color w:val="000000"/>
          <w:sz w:val="28"/>
          <w:szCs w:val="28"/>
          <w:lang w:val="uk-UA"/>
        </w:rPr>
      </w:pPr>
      <w:r w:rsidRPr="000C2E2D">
        <w:rPr>
          <w:rFonts w:eastAsia="Calibri"/>
          <w:b/>
          <w:bCs/>
          <w:color w:val="000000"/>
          <w:sz w:val="28"/>
          <w:szCs w:val="28"/>
          <w:lang w:val="uk-UA"/>
        </w:rPr>
        <w:t>2.</w:t>
      </w:r>
      <w:r w:rsidRPr="000C2E2D">
        <w:rPr>
          <w:rFonts w:eastAsia="Calibri"/>
          <w:sz w:val="28"/>
          <w:szCs w:val="28"/>
          <w:lang w:val="uk-UA"/>
        </w:rPr>
        <w:t xml:space="preserve"> </w:t>
      </w:r>
      <w:r w:rsidRPr="000C2E2D">
        <w:rPr>
          <w:rFonts w:eastAsia="Calibri"/>
          <w:b/>
          <w:bCs/>
          <w:sz w:val="28"/>
          <w:szCs w:val="28"/>
          <w:lang w:val="uk-UA"/>
        </w:rPr>
        <w:t>Мета програми</w:t>
      </w:r>
    </w:p>
    <w:p w:rsidR="000C2E2D" w:rsidRPr="000C2E2D" w:rsidRDefault="000C2E2D" w:rsidP="000C2E2D">
      <w:pPr>
        <w:shd w:val="clear" w:color="auto" w:fill="FFFFFF"/>
        <w:ind w:firstLine="567"/>
        <w:jc w:val="center"/>
        <w:rPr>
          <w:rFonts w:eastAsia="Calibri"/>
          <w:color w:val="000000"/>
          <w:sz w:val="27"/>
          <w:szCs w:val="27"/>
          <w:lang w:val="uk-UA"/>
        </w:rPr>
      </w:pP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 xml:space="preserve">Необхідність розроблення Програми зумовлена тим, що відповідно до чинного законодавства, органам місцевого самоврядування до 1 січня 2025 року необхідно забезпечити: </w:t>
      </w:r>
    </w:p>
    <w:p w:rsidR="000C2E2D" w:rsidRPr="000C2E2D" w:rsidRDefault="000C2E2D" w:rsidP="000C2E2D">
      <w:pPr>
        <w:ind w:firstLine="708"/>
        <w:jc w:val="both"/>
        <w:rPr>
          <w:color w:val="000000"/>
          <w:sz w:val="28"/>
          <w:szCs w:val="28"/>
          <w:lang w:val="uk-UA"/>
        </w:rPr>
      </w:pPr>
      <w:r w:rsidRPr="000C2E2D">
        <w:rPr>
          <w:color w:val="000000"/>
          <w:sz w:val="28"/>
          <w:szCs w:val="28"/>
          <w:lang w:val="uk-UA"/>
        </w:rPr>
        <w:t>-</w:t>
      </w:r>
      <w:r>
        <w:rPr>
          <w:color w:val="000000"/>
          <w:sz w:val="28"/>
          <w:szCs w:val="28"/>
          <w:lang w:val="uk-UA"/>
        </w:rPr>
        <w:t xml:space="preserve"> </w:t>
      </w:r>
      <w:r w:rsidRPr="000C2E2D">
        <w:rPr>
          <w:color w:val="000000"/>
          <w:sz w:val="28"/>
          <w:szCs w:val="28"/>
          <w:lang w:val="uk-UA"/>
        </w:rPr>
        <w:t xml:space="preserve">внесення відомостей до Державного земельного кадастру про функціональні зони територій, визначені у містобудівній документації на місцевому рівні, що затверджена; </w:t>
      </w:r>
    </w:p>
    <w:p w:rsidR="000C2E2D" w:rsidRPr="000C2E2D" w:rsidRDefault="000C2E2D" w:rsidP="000C2E2D">
      <w:pPr>
        <w:ind w:firstLine="708"/>
        <w:jc w:val="both"/>
        <w:rPr>
          <w:color w:val="000000"/>
          <w:sz w:val="28"/>
          <w:szCs w:val="28"/>
          <w:lang w:val="uk-UA"/>
        </w:rPr>
      </w:pPr>
      <w:r w:rsidRPr="000C2E2D">
        <w:rPr>
          <w:color w:val="000000"/>
          <w:sz w:val="28"/>
          <w:szCs w:val="28"/>
          <w:lang w:val="uk-UA"/>
        </w:rPr>
        <w:t>-</w:t>
      </w:r>
      <w:r>
        <w:rPr>
          <w:color w:val="000000"/>
          <w:sz w:val="28"/>
          <w:szCs w:val="28"/>
          <w:lang w:val="uk-UA"/>
        </w:rPr>
        <w:t xml:space="preserve"> </w:t>
      </w:r>
      <w:r w:rsidRPr="000C2E2D">
        <w:rPr>
          <w:color w:val="000000"/>
          <w:sz w:val="28"/>
          <w:szCs w:val="28"/>
          <w:lang w:val="uk-UA"/>
        </w:rPr>
        <w:t xml:space="preserve">внесення відомостей до Державного земельного кадастру про межі територій пам’яток, історико-культурних заповідників, історичних ареалів населених пунктів та зон охорони пам’яток культурної спадщини, зазначені в історико-архітектурному опорному плані (за наявності); </w:t>
      </w:r>
    </w:p>
    <w:p w:rsidR="000C2E2D" w:rsidRPr="000C2E2D" w:rsidRDefault="000C2E2D" w:rsidP="000C2E2D">
      <w:pPr>
        <w:ind w:firstLine="708"/>
        <w:jc w:val="both"/>
        <w:rPr>
          <w:color w:val="000000"/>
          <w:sz w:val="28"/>
          <w:szCs w:val="28"/>
          <w:lang w:val="uk-UA"/>
        </w:rPr>
      </w:pPr>
      <w:r w:rsidRPr="000C2E2D">
        <w:rPr>
          <w:color w:val="000000"/>
          <w:sz w:val="28"/>
          <w:szCs w:val="28"/>
          <w:lang w:val="uk-UA"/>
        </w:rPr>
        <w:t>-</w:t>
      </w:r>
      <w:r>
        <w:rPr>
          <w:color w:val="000000"/>
          <w:sz w:val="28"/>
          <w:szCs w:val="28"/>
          <w:lang w:val="uk-UA"/>
        </w:rPr>
        <w:t xml:space="preserve"> </w:t>
      </w:r>
      <w:r w:rsidRPr="000C2E2D">
        <w:rPr>
          <w:color w:val="000000"/>
          <w:sz w:val="28"/>
          <w:szCs w:val="28"/>
          <w:lang w:val="uk-UA"/>
        </w:rPr>
        <w:t>внесення відомостей до Державного земельного кадастру про обмеження у використанні земель у сфері забудови;</w:t>
      </w:r>
    </w:p>
    <w:p w:rsidR="000C2E2D" w:rsidRPr="000C2E2D" w:rsidRDefault="000C2E2D" w:rsidP="000C2E2D">
      <w:pPr>
        <w:ind w:firstLine="708"/>
        <w:jc w:val="both"/>
        <w:rPr>
          <w:color w:val="000000"/>
          <w:sz w:val="28"/>
          <w:szCs w:val="28"/>
          <w:lang w:val="uk-UA"/>
        </w:rPr>
      </w:pPr>
      <w:r w:rsidRPr="000C2E2D">
        <w:rPr>
          <w:color w:val="000000"/>
          <w:sz w:val="28"/>
          <w:szCs w:val="28"/>
          <w:lang w:val="uk-UA"/>
        </w:rPr>
        <w:t>-</w:t>
      </w:r>
      <w:r>
        <w:rPr>
          <w:color w:val="000000"/>
          <w:sz w:val="28"/>
          <w:szCs w:val="28"/>
          <w:lang w:val="uk-UA"/>
        </w:rPr>
        <w:t xml:space="preserve"> </w:t>
      </w:r>
      <w:r w:rsidRPr="000C2E2D">
        <w:rPr>
          <w:color w:val="000000"/>
          <w:sz w:val="28"/>
          <w:szCs w:val="28"/>
          <w:lang w:val="uk-UA"/>
        </w:rPr>
        <w:t xml:space="preserve">розроблення комплексного плану просторового розвитку території територіальної громади. </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Основними стратегічними цілями Програми є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Основними завданнями Програми є:</w:t>
      </w:r>
    </w:p>
    <w:p w:rsidR="000C2E2D" w:rsidRPr="000C2E2D" w:rsidRDefault="000C2E2D" w:rsidP="000C2E2D">
      <w:pPr>
        <w:ind w:firstLine="567"/>
        <w:jc w:val="both"/>
        <w:rPr>
          <w:color w:val="000000"/>
          <w:sz w:val="28"/>
          <w:szCs w:val="28"/>
          <w:lang w:val="uk-UA"/>
        </w:rPr>
      </w:pPr>
      <w:r w:rsidRPr="000C2E2D">
        <w:rPr>
          <w:color w:val="000000"/>
          <w:sz w:val="28"/>
          <w:szCs w:val="28"/>
          <w:lang w:val="uk-UA"/>
        </w:rPr>
        <w:t>1) забезпечення координації діяльності суб’єктів містобудування щодо комплексної забудови населеного пункту, забезпечення розробки Комплексного плану просторового розвитку території територіальної громади, генеральних планів населених пунктів, детальних планів, проведення експертизи та затвердження містобудівної документації; контроль за розміщенням та будівництвом об’єктів містобудування відповідно до затвердженої містобудівної документації;</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 xml:space="preserve">2)здійснення контролю за додержанням земельного законодавства, використання та охорони земель комунальної власності відповідно до </w:t>
      </w:r>
      <w:r w:rsidRPr="000C2E2D">
        <w:rPr>
          <w:rFonts w:eastAsia="Calibri"/>
          <w:color w:val="000000"/>
          <w:sz w:val="28"/>
          <w:szCs w:val="28"/>
          <w:lang w:val="uk-UA"/>
        </w:rPr>
        <w:lastRenderedPageBreak/>
        <w:t xml:space="preserve">Земельного кодексу України, Водного кодексу України, Лісового кодексу України, Законів України «Про землеустрій», Закону України «Про оренду землі», Закону України «Про Державний земельний кадастр», Закону України «Про охорону земель», Закону України «Про державний контроль за використанням та охороною земель» тощо;   </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3)виявлення резервів земельних ресурсів, придатних для використання за цільовим призначенням у різних галузях економіки;</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7"/>
          <w:szCs w:val="27"/>
          <w:lang w:val="uk-UA"/>
        </w:rPr>
        <w:t>4)</w:t>
      </w:r>
      <w:r w:rsidRPr="000C2E2D">
        <w:rPr>
          <w:rFonts w:eastAsia="Calibri"/>
          <w:color w:val="000000"/>
          <w:sz w:val="28"/>
          <w:szCs w:val="28"/>
          <w:lang w:val="uk-UA"/>
        </w:rPr>
        <w:t>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7"/>
          <w:szCs w:val="27"/>
          <w:lang w:val="uk-UA"/>
        </w:rPr>
        <w:t>5)</w:t>
      </w:r>
      <w:r w:rsidRPr="000C2E2D">
        <w:rPr>
          <w:rFonts w:eastAsia="Calibri"/>
          <w:color w:val="000000"/>
          <w:sz w:val="28"/>
          <w:szCs w:val="28"/>
          <w:lang w:val="uk-UA"/>
        </w:rPr>
        <w:t>інформування господарств сільськогосподарського призначення та громадян, які ведуть одноосібну сільськогосподарську діяльність щодо заходів  призупинення процесів деградації земель і падіння родючості ґрунтів, щодо відтворення родючості ґрунтів на техногенно-забруднених землям сільськогосподарського призначення.</w:t>
      </w:r>
    </w:p>
    <w:p w:rsidR="000C2E2D" w:rsidRPr="000C2E2D" w:rsidRDefault="000C2E2D" w:rsidP="000C2E2D">
      <w:pPr>
        <w:shd w:val="clear" w:color="auto" w:fill="FFFFFF"/>
        <w:ind w:firstLine="567"/>
        <w:jc w:val="both"/>
        <w:rPr>
          <w:rFonts w:eastAsia="Calibri"/>
          <w:color w:val="000000"/>
          <w:sz w:val="28"/>
          <w:szCs w:val="28"/>
          <w:lang w:val="uk-UA"/>
        </w:rPr>
      </w:pPr>
    </w:p>
    <w:p w:rsidR="000C2E2D" w:rsidRPr="000C2E2D" w:rsidRDefault="000C2E2D" w:rsidP="000C2E2D">
      <w:pPr>
        <w:suppressAutoHyphens/>
        <w:autoSpaceDE w:val="0"/>
        <w:ind w:left="851" w:hanging="142"/>
        <w:jc w:val="center"/>
        <w:rPr>
          <w:color w:val="000000"/>
          <w:sz w:val="28"/>
          <w:szCs w:val="28"/>
          <w:lang w:val="uk-UA" w:eastAsia="zh-CN"/>
        </w:rPr>
      </w:pPr>
      <w:r w:rsidRPr="000C2E2D">
        <w:rPr>
          <w:b/>
          <w:color w:val="000000"/>
          <w:sz w:val="28"/>
          <w:szCs w:val="28"/>
          <w:lang w:val="uk-UA" w:eastAsia="zh-CN"/>
        </w:rPr>
        <w:t>3.</w:t>
      </w:r>
      <w:r w:rsidRPr="000C2E2D">
        <w:rPr>
          <w:b/>
          <w:bCs/>
          <w:color w:val="000000"/>
          <w:sz w:val="28"/>
          <w:szCs w:val="28"/>
          <w:lang w:val="uk-UA" w:eastAsia="zh-CN"/>
        </w:rPr>
        <w:t xml:space="preserve"> Шляхи і способи розв’язання проблеми, строк виконання програми</w:t>
      </w:r>
    </w:p>
    <w:p w:rsidR="000C2E2D" w:rsidRPr="000C2E2D" w:rsidRDefault="000C2E2D" w:rsidP="000C2E2D">
      <w:pPr>
        <w:shd w:val="clear" w:color="auto" w:fill="FFFFFF"/>
        <w:ind w:firstLine="567"/>
        <w:jc w:val="center"/>
        <w:rPr>
          <w:rFonts w:eastAsia="Calibri"/>
          <w:b/>
          <w:color w:val="000000"/>
          <w:sz w:val="27"/>
          <w:szCs w:val="27"/>
          <w:lang w:val="uk-UA"/>
        </w:rPr>
      </w:pP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Програма розрахована на 2024-2026 роки і має бути реалізована шляхом проведення основних заходів і робіт.</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1)земельну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2)розробку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7"/>
          <w:szCs w:val="27"/>
          <w:lang w:val="uk-UA"/>
        </w:rPr>
        <w:t>3)</w:t>
      </w:r>
      <w:r w:rsidRPr="000C2E2D">
        <w:rPr>
          <w:rFonts w:eastAsia="Calibri"/>
          <w:color w:val="000000"/>
          <w:sz w:val="28"/>
          <w:szCs w:val="28"/>
          <w:lang w:val="uk-UA"/>
        </w:rPr>
        <w:t>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lastRenderedPageBreak/>
        <w:t>4)проведення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0C2E2D" w:rsidRPr="000C2E2D" w:rsidRDefault="000C2E2D" w:rsidP="000C2E2D">
      <w:pPr>
        <w:shd w:val="clear" w:color="auto" w:fill="FFFFFF"/>
        <w:ind w:firstLine="567"/>
        <w:jc w:val="both"/>
        <w:rPr>
          <w:rFonts w:eastAsia="Calibri"/>
          <w:color w:val="000000"/>
          <w:sz w:val="27"/>
          <w:szCs w:val="27"/>
          <w:lang w:val="uk-UA"/>
        </w:rPr>
      </w:pPr>
    </w:p>
    <w:p w:rsidR="000C2E2D" w:rsidRPr="000C2E2D" w:rsidRDefault="000C2E2D" w:rsidP="000C2E2D">
      <w:pPr>
        <w:shd w:val="clear" w:color="auto" w:fill="FFFFFF"/>
        <w:ind w:firstLine="567"/>
        <w:jc w:val="center"/>
        <w:rPr>
          <w:rFonts w:eastAsia="Calibri"/>
          <w:b/>
          <w:bCs/>
          <w:sz w:val="28"/>
          <w:szCs w:val="28"/>
          <w:lang w:val="uk-UA"/>
        </w:rPr>
      </w:pPr>
      <w:r w:rsidRPr="000C2E2D">
        <w:rPr>
          <w:rFonts w:eastAsia="Calibri"/>
          <w:b/>
          <w:bCs/>
          <w:sz w:val="28"/>
          <w:szCs w:val="28"/>
          <w:lang w:val="uk-UA"/>
        </w:rPr>
        <w:t>4. Напрями діяльності та заходи програми</w:t>
      </w:r>
    </w:p>
    <w:p w:rsidR="000C2E2D" w:rsidRPr="000C2E2D" w:rsidRDefault="000C2E2D" w:rsidP="000C2E2D">
      <w:pPr>
        <w:shd w:val="clear" w:color="auto" w:fill="FFFFFF"/>
        <w:ind w:firstLine="567"/>
        <w:jc w:val="center"/>
        <w:rPr>
          <w:rFonts w:eastAsia="Calibri"/>
          <w:b/>
          <w:bCs/>
          <w:sz w:val="28"/>
          <w:szCs w:val="28"/>
          <w:lang w:val="uk-UA"/>
        </w:rPr>
      </w:pPr>
    </w:p>
    <w:p w:rsidR="000C2E2D" w:rsidRPr="000C2E2D" w:rsidRDefault="000C2E2D" w:rsidP="000C2E2D">
      <w:pPr>
        <w:shd w:val="clear" w:color="auto" w:fill="FFFFFF"/>
        <w:ind w:firstLine="567"/>
        <w:jc w:val="both"/>
        <w:rPr>
          <w:sz w:val="28"/>
          <w:szCs w:val="28"/>
          <w:bdr w:val="none" w:sz="0" w:space="0" w:color="auto" w:frame="1"/>
          <w:lang w:val="uk-UA"/>
        </w:rPr>
      </w:pPr>
      <w:r w:rsidRPr="000C2E2D">
        <w:rPr>
          <w:sz w:val="28"/>
          <w:szCs w:val="28"/>
          <w:bdr w:val="none" w:sz="0" w:space="0" w:color="auto" w:frame="1"/>
          <w:lang w:val="uk-UA"/>
        </w:rPr>
        <w:t>Земельні ресурси Великосеверинівської сільської ради Кропивницького району Кіровоградської області:</w:t>
      </w:r>
    </w:p>
    <w:p w:rsidR="000C2E2D" w:rsidRPr="000C2E2D" w:rsidRDefault="000C2E2D" w:rsidP="000C2E2D">
      <w:pPr>
        <w:shd w:val="clear" w:color="auto" w:fill="FFFFFF"/>
        <w:ind w:firstLine="567"/>
        <w:jc w:val="both"/>
        <w:rPr>
          <w:sz w:val="28"/>
          <w:szCs w:val="28"/>
          <w:bdr w:val="none" w:sz="0" w:space="0" w:color="auto" w:frame="1"/>
          <w:lang w:val="uk-UA"/>
        </w:rPr>
      </w:pPr>
      <w:r w:rsidRPr="000C2E2D">
        <w:rPr>
          <w:sz w:val="28"/>
          <w:szCs w:val="28"/>
          <w:bdr w:val="none" w:sz="0" w:space="0" w:color="auto" w:frame="1"/>
          <w:lang w:val="uk-UA"/>
        </w:rPr>
        <w:t>1)територія Великосеверинівської сільської ради становить 22120,38</w:t>
      </w:r>
      <w:r w:rsidRPr="000C2E2D">
        <w:rPr>
          <w:b/>
          <w:lang w:val="uk-UA"/>
        </w:rPr>
        <w:t xml:space="preserve"> </w:t>
      </w:r>
      <w:r w:rsidRPr="000C2E2D">
        <w:rPr>
          <w:sz w:val="28"/>
          <w:szCs w:val="28"/>
          <w:bdr w:val="none" w:sz="0" w:space="0" w:color="auto" w:frame="1"/>
          <w:lang w:val="uk-UA"/>
        </w:rPr>
        <w:t>га, площа населених пунктів – 1882,8306 га;</w:t>
      </w:r>
    </w:p>
    <w:p w:rsidR="000C2E2D" w:rsidRPr="000C2E2D" w:rsidRDefault="000C2E2D" w:rsidP="000C2E2D">
      <w:pPr>
        <w:shd w:val="clear" w:color="auto" w:fill="FFFFFF"/>
        <w:ind w:firstLine="567"/>
        <w:jc w:val="both"/>
        <w:rPr>
          <w:sz w:val="28"/>
          <w:szCs w:val="28"/>
          <w:lang w:val="uk-UA"/>
        </w:rPr>
      </w:pPr>
      <w:r w:rsidRPr="000C2E2D">
        <w:rPr>
          <w:sz w:val="28"/>
          <w:szCs w:val="28"/>
          <w:bdr w:val="none" w:sz="0" w:space="0" w:color="auto" w:frame="1"/>
          <w:lang w:val="uk-UA"/>
        </w:rPr>
        <w:t>2)до Великосеверинівської сільської ради (ОТГ) приєдналися Оситнязька сільська рада, Созонівська сільська рада, Високобайрацька сільська рада;</w:t>
      </w:r>
    </w:p>
    <w:p w:rsidR="000C2E2D" w:rsidRPr="000C2E2D" w:rsidRDefault="000C2E2D" w:rsidP="000C2E2D">
      <w:pPr>
        <w:shd w:val="clear" w:color="auto" w:fill="FFFFFF"/>
        <w:ind w:firstLine="567"/>
        <w:jc w:val="both"/>
        <w:rPr>
          <w:sz w:val="28"/>
          <w:szCs w:val="28"/>
          <w:lang w:val="uk-UA"/>
        </w:rPr>
      </w:pPr>
      <w:r w:rsidRPr="000C2E2D">
        <w:rPr>
          <w:sz w:val="28"/>
          <w:szCs w:val="28"/>
          <w:bdr w:val="none" w:sz="0" w:space="0" w:color="auto" w:frame="1"/>
          <w:lang w:val="uk-UA"/>
        </w:rPr>
        <w:t>3)Великосеверинівська сільська рада межує з Катеринівської сільською радою, Олександрівською сільською радою, Знам’янською сільською радою, Аджамською сільською радою та м. Кропивницький. Відстань до обласного центру складає 15 км;</w:t>
      </w:r>
    </w:p>
    <w:p w:rsidR="000C2E2D" w:rsidRPr="000C2E2D" w:rsidRDefault="000C2E2D" w:rsidP="000C2E2D">
      <w:pPr>
        <w:shd w:val="clear" w:color="auto" w:fill="FFFFFF"/>
        <w:ind w:firstLine="567"/>
        <w:jc w:val="both"/>
        <w:rPr>
          <w:sz w:val="28"/>
          <w:szCs w:val="28"/>
          <w:bdr w:val="none" w:sz="0" w:space="0" w:color="auto" w:frame="1"/>
          <w:lang w:val="uk-UA"/>
        </w:rPr>
      </w:pPr>
      <w:r w:rsidRPr="000C2E2D">
        <w:rPr>
          <w:sz w:val="28"/>
          <w:szCs w:val="28"/>
          <w:bdr w:val="none" w:sz="0" w:space="0" w:color="auto" w:frame="1"/>
          <w:lang w:val="uk-UA"/>
        </w:rPr>
        <w:t>4) на території Великосеверинівської сільської ради розташовано одинадцять населених пунктів: с. Велика Северинка, с.Підгайці, с.Лозуватка, с.Кандаурове, с.Оситняжка, с.Петрове, с.Созонівка, с.Високі Байраки, с.Рожнятівка, с.Андросове, с.Червоний Кут;</w:t>
      </w:r>
    </w:p>
    <w:p w:rsidR="000C2E2D" w:rsidRPr="000C2E2D" w:rsidRDefault="000C2E2D" w:rsidP="000C2E2D">
      <w:pPr>
        <w:shd w:val="clear" w:color="auto" w:fill="FFFFFF"/>
        <w:ind w:firstLine="567"/>
        <w:jc w:val="both"/>
        <w:rPr>
          <w:sz w:val="28"/>
          <w:szCs w:val="28"/>
          <w:bdr w:val="none" w:sz="0" w:space="0" w:color="auto" w:frame="1"/>
          <w:lang w:val="uk-UA"/>
        </w:rPr>
      </w:pPr>
      <w:r w:rsidRPr="000C2E2D">
        <w:rPr>
          <w:sz w:val="28"/>
          <w:szCs w:val="28"/>
          <w:bdr w:val="none" w:sz="0" w:space="0" w:color="auto" w:frame="1"/>
          <w:lang w:val="uk-UA"/>
        </w:rPr>
        <w:t>5) на території сільської ради перебувають землі сільськогосподарського призначення державної власності, площа яких складає 1776,9900 га;</w:t>
      </w:r>
    </w:p>
    <w:p w:rsidR="000C2E2D" w:rsidRPr="000C2E2D" w:rsidRDefault="000C2E2D" w:rsidP="000C2E2D">
      <w:pPr>
        <w:shd w:val="clear" w:color="auto" w:fill="FFFFFF"/>
        <w:ind w:firstLine="567"/>
        <w:jc w:val="both"/>
        <w:rPr>
          <w:sz w:val="28"/>
          <w:szCs w:val="28"/>
          <w:lang w:val="uk-UA"/>
        </w:rPr>
      </w:pPr>
      <w:r w:rsidRPr="000C2E2D">
        <w:rPr>
          <w:sz w:val="28"/>
          <w:szCs w:val="28"/>
          <w:bdr w:val="none" w:sz="0" w:space="0" w:color="auto" w:frame="1"/>
          <w:lang w:val="uk-UA"/>
        </w:rPr>
        <w:t>6) на території сільської ради розташовано землі лісового фонду, які належать ДП "ДОЛИНСЬКИЙ ЛІСГОСП".</w:t>
      </w:r>
    </w:p>
    <w:p w:rsidR="000C2E2D" w:rsidRPr="000C2E2D" w:rsidRDefault="000C2E2D" w:rsidP="000C2E2D">
      <w:pPr>
        <w:ind w:firstLine="708"/>
        <w:jc w:val="both"/>
        <w:rPr>
          <w:sz w:val="28"/>
          <w:szCs w:val="28"/>
          <w:lang w:val="uk-UA"/>
        </w:rPr>
      </w:pPr>
      <w:r w:rsidRPr="000C2E2D">
        <w:rPr>
          <w:sz w:val="28"/>
          <w:szCs w:val="28"/>
          <w:lang w:val="uk-UA"/>
        </w:rPr>
        <w:t xml:space="preserve">Одним із найголовніших етапів реалізації даної програми є розроблення </w:t>
      </w:r>
    </w:p>
    <w:p w:rsidR="000C2E2D" w:rsidRPr="000C2E2D" w:rsidRDefault="000C2E2D" w:rsidP="000C2E2D">
      <w:pPr>
        <w:jc w:val="both"/>
        <w:rPr>
          <w:color w:val="000000"/>
          <w:sz w:val="28"/>
          <w:szCs w:val="28"/>
          <w:lang w:val="uk-UA"/>
        </w:rPr>
      </w:pPr>
      <w:r w:rsidRPr="000C2E2D">
        <w:rPr>
          <w:color w:val="000000"/>
          <w:sz w:val="28"/>
          <w:szCs w:val="28"/>
          <w:lang w:val="uk-UA"/>
        </w:rPr>
        <w:t>комплексного плану просторового розвитку території територіальної громади - містобудівна документація на місцевому рівні,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та поєднує в собі 10 видів містобудівної та землевпорядної документації.</w:t>
      </w:r>
    </w:p>
    <w:p w:rsidR="000C2E2D" w:rsidRPr="000C2E2D" w:rsidRDefault="000C2E2D" w:rsidP="000C2E2D">
      <w:pPr>
        <w:ind w:hanging="284"/>
        <w:jc w:val="both"/>
        <w:rPr>
          <w:color w:val="000000"/>
          <w:sz w:val="28"/>
          <w:szCs w:val="28"/>
          <w:lang w:val="uk-UA"/>
        </w:rPr>
      </w:pPr>
      <w:r w:rsidRPr="000C2E2D">
        <w:rPr>
          <w:noProof/>
          <w:lang w:val="uk-UA" w:eastAsia="uk-UA"/>
        </w:rPr>
        <w:lastRenderedPageBreak/>
        <w:drawing>
          <wp:inline distT="0" distB="0" distL="0" distR="0" wp14:anchorId="72751EC3" wp14:editId="122A11EF">
            <wp:extent cx="6345141" cy="320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70040" cy="3213962"/>
                    </a:xfrm>
                    <a:prstGeom prst="rect">
                      <a:avLst/>
                    </a:prstGeom>
                  </pic:spPr>
                </pic:pic>
              </a:graphicData>
            </a:graphic>
          </wp:inline>
        </w:drawing>
      </w:r>
    </w:p>
    <w:p w:rsidR="000C2E2D" w:rsidRPr="000C2E2D" w:rsidRDefault="000C2E2D" w:rsidP="000C2E2D">
      <w:pPr>
        <w:jc w:val="both"/>
        <w:rPr>
          <w:color w:val="000000"/>
          <w:sz w:val="28"/>
          <w:szCs w:val="28"/>
          <w:lang w:val="uk-UA"/>
        </w:rPr>
      </w:pPr>
    </w:p>
    <w:p w:rsidR="000C2E2D" w:rsidRPr="000C2E2D" w:rsidRDefault="000C2E2D" w:rsidP="000C2E2D">
      <w:pPr>
        <w:ind w:firstLine="708"/>
        <w:jc w:val="both"/>
        <w:rPr>
          <w:sz w:val="28"/>
          <w:szCs w:val="28"/>
          <w:lang w:val="uk-UA"/>
        </w:rPr>
      </w:pPr>
    </w:p>
    <w:p w:rsidR="000C2E2D" w:rsidRPr="000C2E2D" w:rsidRDefault="000C2E2D" w:rsidP="000C2E2D">
      <w:pPr>
        <w:ind w:firstLine="708"/>
        <w:jc w:val="both"/>
        <w:rPr>
          <w:sz w:val="28"/>
          <w:szCs w:val="28"/>
          <w:lang w:val="uk-UA"/>
        </w:rPr>
      </w:pPr>
      <w:r w:rsidRPr="000C2E2D">
        <w:rPr>
          <w:sz w:val="28"/>
          <w:szCs w:val="28"/>
          <w:lang w:val="uk-UA"/>
        </w:rPr>
        <w:t>В зв’язку з введенням ринкових механізмів в структурі сільської життєдіяльності з’явилися нові форми і підприємства господарської діяльності для здійснення якої  надаються земельні ділянки під забудову, розміщення та розвитку такої діяльності на підставі генерального плану населеного пункту. Для систематизації процесу розміщення об’єктів містобудування на вільних земельних ділянках та територіях існуючої забудови виникає необхідність розробки детального плану території.</w:t>
      </w:r>
    </w:p>
    <w:p w:rsidR="000C2E2D" w:rsidRPr="000C2E2D" w:rsidRDefault="000C2E2D" w:rsidP="000C2E2D">
      <w:pPr>
        <w:shd w:val="clear" w:color="auto" w:fill="FFFFFF"/>
        <w:ind w:firstLine="567"/>
        <w:jc w:val="both"/>
        <w:rPr>
          <w:rFonts w:eastAsia="Calibri"/>
          <w:sz w:val="28"/>
          <w:szCs w:val="28"/>
          <w:lang w:val="uk-UA"/>
        </w:rPr>
      </w:pPr>
      <w:r w:rsidRPr="000C2E2D">
        <w:rPr>
          <w:rFonts w:eastAsia="Calibri"/>
          <w:sz w:val="28"/>
          <w:szCs w:val="28"/>
          <w:lang w:val="uk-UA"/>
        </w:rPr>
        <w:t>Відповідно до Закону України «Про регулювання містобудівної діяльності» головними складовими комплексного плану є:</w:t>
      </w:r>
    </w:p>
    <w:p w:rsidR="000C2E2D" w:rsidRPr="000C2E2D" w:rsidRDefault="000C2E2D" w:rsidP="000C2E2D">
      <w:pPr>
        <w:shd w:val="clear" w:color="auto" w:fill="FFFFFF"/>
        <w:ind w:firstLine="567"/>
        <w:jc w:val="both"/>
        <w:rPr>
          <w:rFonts w:eastAsia="Calibri"/>
          <w:sz w:val="28"/>
          <w:szCs w:val="28"/>
          <w:lang w:val="uk-UA"/>
        </w:rPr>
      </w:pPr>
      <w:r w:rsidRPr="000C2E2D">
        <w:rPr>
          <w:rFonts w:eastAsia="Calibri"/>
          <w:sz w:val="28"/>
          <w:szCs w:val="28"/>
          <w:lang w:val="uk-UA"/>
        </w:rPr>
        <w:t xml:space="preserve"> - генеральний план населеного пункту – адміністративного центру територіальної громади; генеральні плани населених пунктів та детальні плани території у межах території територіальної громади, затверджені до прийняття комплексного плану, які визнані такими, що відповідають вимогам законодавства, узгоджуються з планувальними рішеннями Комплексного плану і підлягають включенню до нього; </w:t>
      </w:r>
    </w:p>
    <w:p w:rsidR="000C2E2D" w:rsidRPr="000C2E2D" w:rsidRDefault="000C2E2D" w:rsidP="000C2E2D">
      <w:pPr>
        <w:shd w:val="clear" w:color="auto" w:fill="FFFFFF"/>
        <w:ind w:firstLine="567"/>
        <w:jc w:val="both"/>
        <w:rPr>
          <w:rFonts w:eastAsia="Calibri"/>
          <w:sz w:val="28"/>
          <w:szCs w:val="28"/>
          <w:lang w:val="uk-UA"/>
        </w:rPr>
      </w:pPr>
      <w:r w:rsidRPr="000C2E2D">
        <w:rPr>
          <w:rFonts w:eastAsia="Calibri"/>
          <w:sz w:val="28"/>
          <w:szCs w:val="28"/>
          <w:lang w:val="uk-UA"/>
        </w:rPr>
        <w:t>-</w:t>
      </w:r>
      <w:r>
        <w:rPr>
          <w:rFonts w:eastAsia="Calibri"/>
          <w:sz w:val="28"/>
          <w:szCs w:val="28"/>
          <w:lang w:val="uk-UA"/>
        </w:rPr>
        <w:t xml:space="preserve"> </w:t>
      </w:r>
      <w:r w:rsidRPr="000C2E2D">
        <w:rPr>
          <w:rFonts w:eastAsia="Calibri"/>
          <w:sz w:val="28"/>
          <w:szCs w:val="28"/>
          <w:lang w:val="uk-UA"/>
        </w:rPr>
        <w:t xml:space="preserve">генеральні плани населених пунктів у межах території територіальної громади, необхідність розроблення яких встановлена рішенням про затвердження Комплексного плану (включаються до складу Комплексного плану одночасно з їхнім затвердженням); </w:t>
      </w:r>
    </w:p>
    <w:p w:rsidR="000C2E2D" w:rsidRPr="000C2E2D" w:rsidRDefault="000C2E2D" w:rsidP="000C2E2D">
      <w:pPr>
        <w:shd w:val="clear" w:color="auto" w:fill="FFFFFF"/>
        <w:ind w:firstLine="567"/>
        <w:jc w:val="both"/>
        <w:rPr>
          <w:rFonts w:eastAsia="Calibri"/>
          <w:sz w:val="28"/>
          <w:szCs w:val="28"/>
          <w:lang w:val="uk-UA"/>
        </w:rPr>
      </w:pPr>
      <w:r w:rsidRPr="000C2E2D">
        <w:rPr>
          <w:rFonts w:eastAsia="Calibri"/>
          <w:sz w:val="28"/>
          <w:szCs w:val="28"/>
          <w:lang w:val="uk-UA"/>
        </w:rPr>
        <w:t>-</w:t>
      </w:r>
      <w:r>
        <w:rPr>
          <w:rFonts w:eastAsia="Calibri"/>
          <w:sz w:val="28"/>
          <w:szCs w:val="28"/>
          <w:lang w:val="uk-UA"/>
        </w:rPr>
        <w:t xml:space="preserve"> </w:t>
      </w:r>
      <w:r w:rsidRPr="000C2E2D">
        <w:rPr>
          <w:rFonts w:eastAsia="Calibri"/>
          <w:sz w:val="28"/>
          <w:szCs w:val="28"/>
          <w:lang w:val="uk-UA"/>
        </w:rPr>
        <w:t xml:space="preserve">планувальні рішення генеральних планів інших населених пунктів та детальних планів територій у межах території територіальної громади; детальні плани території у межах території територіальної громади (включаються до складу Комплексного плану одночасно з їхнім затвердженням); </w:t>
      </w:r>
    </w:p>
    <w:p w:rsidR="000C2E2D" w:rsidRPr="000C2E2D" w:rsidRDefault="000C2E2D" w:rsidP="000C2E2D">
      <w:pPr>
        <w:shd w:val="clear" w:color="auto" w:fill="FFFFFF"/>
        <w:ind w:firstLine="567"/>
        <w:jc w:val="both"/>
        <w:rPr>
          <w:rFonts w:eastAsia="Calibri"/>
          <w:sz w:val="28"/>
          <w:szCs w:val="28"/>
          <w:lang w:val="uk-UA"/>
        </w:rPr>
      </w:pPr>
      <w:r w:rsidRPr="000C2E2D">
        <w:rPr>
          <w:rFonts w:eastAsia="Calibri"/>
          <w:sz w:val="28"/>
          <w:szCs w:val="28"/>
          <w:lang w:val="uk-UA"/>
        </w:rPr>
        <w:t>-</w:t>
      </w:r>
      <w:r>
        <w:rPr>
          <w:rFonts w:eastAsia="Calibri"/>
          <w:sz w:val="28"/>
          <w:szCs w:val="28"/>
          <w:lang w:val="uk-UA"/>
        </w:rPr>
        <w:t xml:space="preserve"> </w:t>
      </w:r>
      <w:r w:rsidRPr="000C2E2D">
        <w:rPr>
          <w:rFonts w:eastAsia="Calibri"/>
          <w:sz w:val="28"/>
          <w:szCs w:val="28"/>
          <w:lang w:val="uk-UA"/>
        </w:rPr>
        <w:t>межі функціональних зон усієї території територіальної громади з вимогами до забудови та ландшафтної організації таких зон (плани зонування територій населених пунктів у межах території територіальної громади розробляються у складі генеральних планів та включаються до складу Комплексного плану одночасно із затвердженням відповідних генеральних планів);</w:t>
      </w:r>
    </w:p>
    <w:p w:rsidR="000C2E2D" w:rsidRPr="000C2E2D" w:rsidRDefault="000C2E2D" w:rsidP="000C2E2D">
      <w:pPr>
        <w:shd w:val="clear" w:color="auto" w:fill="FFFFFF"/>
        <w:ind w:firstLine="567"/>
        <w:jc w:val="both"/>
        <w:rPr>
          <w:rFonts w:eastAsia="Calibri"/>
          <w:lang w:val="uk-UA"/>
        </w:rPr>
      </w:pPr>
      <w:r w:rsidRPr="000C2E2D">
        <w:rPr>
          <w:rFonts w:eastAsia="Calibri"/>
          <w:sz w:val="28"/>
          <w:szCs w:val="28"/>
          <w:lang w:val="uk-UA"/>
        </w:rPr>
        <w:lastRenderedPageBreak/>
        <w:t>- історико-архітектурні опорні плани історичних ареалів населених пунктів, внесених до Списку історичних населених місць України (включаються до складу комплексного плану як невід’ємні складові генеральних планів відповідних населених пунктів).</w:t>
      </w:r>
      <w:r w:rsidRPr="000C2E2D">
        <w:rPr>
          <w:rFonts w:eastAsia="Calibri"/>
          <w:lang w:val="uk-UA"/>
        </w:rPr>
        <w:t xml:space="preserve"> </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sz w:val="28"/>
          <w:szCs w:val="28"/>
          <w:lang w:val="uk-UA"/>
        </w:rPr>
        <w:t xml:space="preserve">У реалізації програми щодо формування територій одними із заходів мають бути роботи по формуванню встановленню меж населених пунктів. </w:t>
      </w:r>
      <w:r w:rsidRPr="000C2E2D">
        <w:rPr>
          <w:rFonts w:eastAsia="Calibri"/>
          <w:color w:val="000000"/>
          <w:sz w:val="28"/>
          <w:szCs w:val="28"/>
          <w:lang w:val="uk-UA"/>
        </w:rPr>
        <w:t>Обґрунтоване формування територій та встановлення меж населених пунктів дасть можливість упорядкувати адміністративно-територіальний поділ, вирішити питання соціального захисту населення, розміщення громадської забудови, раціонального використання земель території, справедливого оподаткування та ведення контролю за використанням і охороною земель. 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 Відсутність такої документації має негативний вплив на розвиток населеного пункту громади, управління земельними ресурсами, формування справедливої системи оподаткування.</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 В подальшому така документація надає можливість виконати роботи по виготовлення нормативної грошової оцінки населених пунктів.</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 xml:space="preserve">Інвентаризація земель є 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та не за цільовим призначенням, всупереч вимогам земельного та природоохоронного законодавства. Засобом набуття таких знань служить інвентаризація. Обліковим об'єктом інвентаризації є земельна ділянка, що знаходиться у власності або користуванні юридичних та фізичних осіб. Протягом 2024-2026 років Великосеверинівською сільською радою планується провести часткову інвентаризацію земель усіх категорій. </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bCs/>
          <w:color w:val="000000"/>
          <w:sz w:val="28"/>
          <w:szCs w:val="28"/>
          <w:lang w:val="uk-UA"/>
        </w:rPr>
        <w:t>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0C2E2D">
        <w:rPr>
          <w:rFonts w:eastAsia="Calibri"/>
          <w:color w:val="000000"/>
          <w:sz w:val="28"/>
          <w:szCs w:val="28"/>
          <w:lang w:val="uk-UA"/>
        </w:rPr>
        <w:t xml:space="preserve">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w:t>
      </w:r>
      <w:r w:rsidRPr="000C2E2D">
        <w:rPr>
          <w:rFonts w:eastAsia="Calibri"/>
          <w:color w:val="000000"/>
          <w:sz w:val="28"/>
          <w:szCs w:val="28"/>
          <w:lang w:val="uk-UA"/>
        </w:rPr>
        <w:lastRenderedPageBreak/>
        <w:t xml:space="preserve">власності, втрат лісогосподарського виробництва, а також при розробці показників і механізмів економічного стимулювання раціонального використання та охорони земель. На сьогоднішній день нормативна грошова оцінка земель населених пунктів Великосеверинівської сільської ради застаріла та потребує відповідно до діючого законодавства, оновлення.  </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Відповідно до Закону України «Про оцінку земель» нормативна грошова оцінка земельних ділянок проводиться:</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1)розташованих у межах населених пунктів незалежно від їх цільового призначення - не рідше ніж один раз на 5-7 років;</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2)розташованих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0C2E2D" w:rsidRPr="000C2E2D" w:rsidRDefault="000C2E2D" w:rsidP="000C2E2D">
      <w:pPr>
        <w:ind w:firstLine="567"/>
        <w:jc w:val="both"/>
        <w:rPr>
          <w:color w:val="000000"/>
          <w:sz w:val="28"/>
          <w:szCs w:val="28"/>
          <w:lang w:val="uk-UA"/>
        </w:rPr>
      </w:pPr>
      <w:r w:rsidRPr="000C2E2D">
        <w:rPr>
          <w:color w:val="000000"/>
          <w:sz w:val="28"/>
          <w:szCs w:val="28"/>
          <w:lang w:val="uk-UA"/>
        </w:rPr>
        <w:t>На сьогодні в Україні, як і більшості країн світу, панує споживацький підхід у землекористуванні, про що свідчить погіршення якісного стану ґрунтів України впродовж останніх десятиліть. Значення проблеми охорони земель зростає, якщо врахувати, що охорона ґрунтів є важливою складовою частиною охорони навколишнього природного середовища. Від стану охорони земель багато в чому залежить охорона всіх інших об’єктів природи: лісів, вод, надр, тваринного світу, атмосферного повітря.</w:t>
      </w:r>
    </w:p>
    <w:p w:rsidR="000C2E2D" w:rsidRPr="000C2E2D" w:rsidRDefault="000C2E2D" w:rsidP="000C2E2D">
      <w:pPr>
        <w:ind w:firstLine="567"/>
        <w:jc w:val="both"/>
        <w:rPr>
          <w:color w:val="000000"/>
          <w:sz w:val="28"/>
          <w:szCs w:val="28"/>
          <w:lang w:val="uk-UA"/>
        </w:rPr>
      </w:pPr>
      <w:r w:rsidRPr="000C2E2D">
        <w:rPr>
          <w:color w:val="000000"/>
          <w:sz w:val="28"/>
          <w:szCs w:val="28"/>
          <w:lang w:val="uk-UA"/>
        </w:rPr>
        <w:t>Таким чином, охорона земель, забезпечення раціонального землекористування, побудови досконалої нормативно-правової бази в умовах погіршення екологічної ситуації в Україні постають як ніколи гостро. Україна володіє значним земельним потенціалом, який становить 5,7 % території Європи. Такий потенціал може розглядатися як потужна конкурентна перевага, проте його практична реалізація вимагає впровадження ефективної моделі земельних відносин. Поліпшення стану ґрунтів відкриває значні резерви збільшення обсягів виробництва с/г продукції, стає передумовою створення ефективного ринку сільськогосподарських земель в Україні.</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Запровадження ринку землі за умови оформлення права власності, користування (оренди, суперфіцію, емфітевзису)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сільської територіальної громади в цілому.</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 xml:space="preserve">Земельним кодексом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вимог чинного законодавства, сільська рада може отримати одноразовий дохід від продажу земельних ділянок у власність або отримання багаторазового отримання доходу у разі продажу земельних ділянок в оренду на визначений термін, який буде </w:t>
      </w:r>
      <w:r w:rsidRPr="000C2E2D">
        <w:rPr>
          <w:rFonts w:eastAsia="Calibri"/>
          <w:color w:val="000000"/>
          <w:sz w:val="28"/>
          <w:szCs w:val="28"/>
          <w:lang w:val="uk-UA"/>
        </w:rPr>
        <w:lastRenderedPageBreak/>
        <w:t>направлений на здійснення програм соціально-економічного розвитку території громади або збільшення фінансування соціальної сфери громади.</w:t>
      </w:r>
    </w:p>
    <w:p w:rsidR="000C2E2D" w:rsidRPr="000C2E2D" w:rsidRDefault="000C2E2D" w:rsidP="000C2E2D">
      <w:pPr>
        <w:shd w:val="clear" w:color="auto" w:fill="FFFFFF"/>
        <w:ind w:firstLine="567"/>
        <w:jc w:val="center"/>
        <w:rPr>
          <w:rFonts w:eastAsia="Calibri"/>
          <w:b/>
          <w:bCs/>
          <w:color w:val="000000"/>
          <w:sz w:val="28"/>
          <w:szCs w:val="28"/>
          <w:lang w:val="uk-UA"/>
        </w:rPr>
      </w:pPr>
    </w:p>
    <w:p w:rsidR="000C2E2D" w:rsidRPr="000C2E2D" w:rsidRDefault="000C2E2D" w:rsidP="000C2E2D">
      <w:pPr>
        <w:shd w:val="clear" w:color="auto" w:fill="FFFFFF"/>
        <w:ind w:firstLine="567"/>
        <w:jc w:val="center"/>
        <w:rPr>
          <w:rFonts w:eastAsia="Calibri"/>
          <w:b/>
          <w:bCs/>
          <w:sz w:val="28"/>
          <w:szCs w:val="28"/>
          <w:lang w:val="uk-UA"/>
        </w:rPr>
      </w:pPr>
      <w:r w:rsidRPr="000C2E2D">
        <w:rPr>
          <w:rFonts w:eastAsia="Calibri"/>
          <w:b/>
          <w:color w:val="000000"/>
          <w:sz w:val="28"/>
          <w:szCs w:val="28"/>
          <w:lang w:val="uk-UA"/>
        </w:rPr>
        <w:t>5.</w:t>
      </w:r>
      <w:r w:rsidRPr="000C2E2D">
        <w:rPr>
          <w:rFonts w:eastAsia="Calibri"/>
          <w:sz w:val="28"/>
          <w:szCs w:val="28"/>
          <w:lang w:val="uk-UA"/>
        </w:rPr>
        <w:t xml:space="preserve"> </w:t>
      </w:r>
      <w:r w:rsidRPr="000C2E2D">
        <w:rPr>
          <w:rFonts w:eastAsia="Calibri"/>
          <w:b/>
          <w:bCs/>
          <w:sz w:val="28"/>
          <w:szCs w:val="28"/>
          <w:lang w:val="uk-UA"/>
        </w:rPr>
        <w:t>Очікувані результати та ефективність програми</w:t>
      </w:r>
    </w:p>
    <w:p w:rsidR="000C2E2D" w:rsidRPr="000C2E2D" w:rsidRDefault="000C2E2D" w:rsidP="000C2E2D">
      <w:pPr>
        <w:shd w:val="clear" w:color="auto" w:fill="FFFFFF"/>
        <w:ind w:firstLine="567"/>
        <w:jc w:val="center"/>
        <w:rPr>
          <w:rFonts w:eastAsia="Calibri"/>
          <w:color w:val="000000"/>
          <w:sz w:val="28"/>
          <w:szCs w:val="28"/>
          <w:lang w:val="uk-UA"/>
        </w:rPr>
      </w:pP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Виконання передбачених Програмою заходів і завдань дасть змогу:</w:t>
      </w:r>
      <w:r w:rsidRPr="000C2E2D">
        <w:rPr>
          <w:rFonts w:eastAsia="Calibri"/>
          <w:color w:val="000000"/>
          <w:sz w:val="28"/>
          <w:szCs w:val="28"/>
          <w:lang w:val="uk-UA"/>
        </w:rPr>
        <w:tab/>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1)забезпечення сільської ради придатним для користування комплексним планом просторового розвитку території громади, який надасть збалансований розвиток всієї території громади, забудову та інше використання територій кожного населеного пункту; </w:t>
      </w:r>
    </w:p>
    <w:p w:rsidR="000C2E2D" w:rsidRPr="000C2E2D" w:rsidRDefault="000C2E2D" w:rsidP="000C2E2D">
      <w:pPr>
        <w:shd w:val="clear" w:color="auto" w:fill="FFFFFF"/>
        <w:ind w:firstLine="567"/>
        <w:jc w:val="both"/>
        <w:textAlignment w:val="baseline"/>
        <w:rPr>
          <w:rFonts w:eastAsia="Calibri"/>
          <w:color w:val="000000"/>
          <w:sz w:val="28"/>
          <w:szCs w:val="28"/>
          <w:lang w:val="uk-UA"/>
        </w:rPr>
      </w:pPr>
      <w:r w:rsidRPr="000C2E2D">
        <w:rPr>
          <w:rFonts w:eastAsia="Calibri"/>
          <w:color w:val="000000"/>
          <w:sz w:val="28"/>
          <w:szCs w:val="28"/>
          <w:lang w:val="uk-UA"/>
        </w:rPr>
        <w:t>2)додержання норм містобудівного та земельного законодавства, при регулюванні використання територій, шляхом забезпечення дотримання затвердженої містобудівної документації. Це дасть можливість розташовувати та проектувати нове будівництво, здійснювати реконструкцію, реставрацію, капітальний ремонт об'єктів містобудування, упорядкувати території, проводити вибір, вилучення (викуп), надання у власність чи користування земель для містобудівних потреб;</w:t>
      </w:r>
    </w:p>
    <w:p w:rsidR="000C2E2D" w:rsidRPr="000C2E2D" w:rsidRDefault="000C2E2D" w:rsidP="000C2E2D">
      <w:pPr>
        <w:shd w:val="clear" w:color="auto" w:fill="FFFFFF"/>
        <w:ind w:firstLine="567"/>
        <w:jc w:val="both"/>
        <w:textAlignment w:val="baseline"/>
        <w:rPr>
          <w:rFonts w:eastAsia="Calibri"/>
          <w:color w:val="000000"/>
          <w:sz w:val="28"/>
          <w:szCs w:val="28"/>
          <w:lang w:val="uk-UA"/>
        </w:rPr>
      </w:pPr>
      <w:r w:rsidRPr="000C2E2D">
        <w:rPr>
          <w:rFonts w:eastAsia="Calibri"/>
          <w:color w:val="000000"/>
          <w:sz w:val="28"/>
          <w:szCs w:val="28"/>
          <w:lang w:val="uk-UA"/>
        </w:rPr>
        <w:t>3)залучення інвестицій у розвиток територіальної громади;</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4)забезпечити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5)впровадити 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6)створити та упорядкувати водоохоронні зони і прибережні захисні смуги водних об'єктів;</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7)забезпечити збереження природних ландшафтів на землях промисловості, транспорту, зв'язку, оборони та іншого призначення;</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8)збільшити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9)збагатити ґрунти поживними речовинами та нормалізувати їх баланс;</w:t>
      </w:r>
    </w:p>
    <w:p w:rsidR="000C2E2D" w:rsidRPr="000C2E2D" w:rsidRDefault="000C2E2D" w:rsidP="000C2E2D">
      <w:pPr>
        <w:shd w:val="clear" w:color="auto" w:fill="FFFFFF"/>
        <w:ind w:firstLine="567"/>
        <w:jc w:val="both"/>
        <w:rPr>
          <w:rFonts w:eastAsia="Calibri"/>
          <w:color w:val="000000"/>
          <w:sz w:val="27"/>
          <w:szCs w:val="27"/>
          <w:lang w:val="uk-UA"/>
        </w:rPr>
      </w:pPr>
      <w:r w:rsidRPr="000C2E2D">
        <w:rPr>
          <w:rFonts w:eastAsia="Calibri"/>
          <w:color w:val="000000"/>
          <w:sz w:val="28"/>
          <w:szCs w:val="28"/>
          <w:lang w:val="uk-UA"/>
        </w:rPr>
        <w:t>10) забезпечити заходи щодо збереження та збільшення зон рекреації, що створить сприятливі умови для розвитку зеленого туризму на території громади.</w:t>
      </w:r>
    </w:p>
    <w:p w:rsidR="000C2E2D" w:rsidRPr="000C2E2D" w:rsidRDefault="000C2E2D" w:rsidP="000C2E2D">
      <w:pPr>
        <w:ind w:firstLine="567"/>
        <w:jc w:val="both"/>
        <w:rPr>
          <w:rFonts w:eastAsia="Calibri"/>
          <w:color w:val="000000"/>
          <w:sz w:val="28"/>
          <w:szCs w:val="28"/>
          <w:lang w:val="uk-UA"/>
        </w:rPr>
      </w:pPr>
      <w:r w:rsidRPr="000C2E2D">
        <w:rPr>
          <w:rFonts w:eastAsia="Calibri"/>
          <w:color w:val="000000"/>
          <w:sz w:val="28"/>
          <w:szCs w:val="28"/>
          <w:lang w:val="uk-UA"/>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0C2E2D" w:rsidRPr="000C2E2D" w:rsidRDefault="000C2E2D" w:rsidP="000C2E2D">
      <w:pPr>
        <w:ind w:firstLine="567"/>
        <w:jc w:val="both"/>
        <w:rPr>
          <w:rFonts w:eastAsia="Calibri"/>
          <w:color w:val="000000"/>
          <w:sz w:val="28"/>
          <w:szCs w:val="28"/>
          <w:lang w:val="uk-UA"/>
        </w:rPr>
      </w:pPr>
      <w:r w:rsidRPr="000C2E2D">
        <w:rPr>
          <w:rFonts w:eastAsia="Calibri"/>
          <w:color w:val="000000"/>
          <w:sz w:val="28"/>
          <w:szCs w:val="28"/>
          <w:lang w:val="uk-UA"/>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 та в цілому збільшиться надходження коштів до бюджету від сплати земельного податку.</w:t>
      </w:r>
    </w:p>
    <w:p w:rsidR="000C2E2D" w:rsidRPr="000C2E2D" w:rsidRDefault="000C2E2D" w:rsidP="000C2E2D">
      <w:pPr>
        <w:ind w:firstLine="567"/>
        <w:jc w:val="both"/>
        <w:rPr>
          <w:rFonts w:eastAsia="Calibri"/>
          <w:color w:val="000000"/>
          <w:sz w:val="28"/>
          <w:szCs w:val="28"/>
          <w:lang w:val="uk-UA"/>
        </w:rPr>
      </w:pPr>
      <w:r w:rsidRPr="000C2E2D">
        <w:rPr>
          <w:rFonts w:eastAsia="Calibri"/>
          <w:color w:val="000000"/>
          <w:sz w:val="28"/>
          <w:szCs w:val="28"/>
          <w:lang w:val="uk-UA"/>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0C2E2D" w:rsidRPr="000C2E2D" w:rsidRDefault="000C2E2D" w:rsidP="000C2E2D">
      <w:pPr>
        <w:ind w:firstLine="567"/>
        <w:jc w:val="both"/>
        <w:rPr>
          <w:rFonts w:eastAsia="Calibri"/>
          <w:color w:val="000000"/>
          <w:sz w:val="28"/>
          <w:szCs w:val="28"/>
          <w:lang w:val="uk-UA"/>
        </w:rPr>
      </w:pPr>
      <w:r w:rsidRPr="000C2E2D">
        <w:rPr>
          <w:rFonts w:eastAsia="Calibri"/>
          <w:color w:val="000000"/>
          <w:sz w:val="28"/>
          <w:szCs w:val="28"/>
          <w:lang w:val="uk-UA"/>
        </w:rPr>
        <w:lastRenderedPageBreak/>
        <w:t>Запровадження ринку землі, а саме проведення аукціонів також дає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0C2E2D" w:rsidRPr="000C2E2D" w:rsidRDefault="000C2E2D" w:rsidP="000C2E2D">
      <w:pPr>
        <w:ind w:firstLine="567"/>
        <w:jc w:val="both"/>
        <w:rPr>
          <w:rFonts w:eastAsia="Calibri"/>
          <w:b/>
          <w:color w:val="000000"/>
          <w:sz w:val="28"/>
          <w:szCs w:val="28"/>
          <w:lang w:val="uk-UA"/>
        </w:rPr>
      </w:pPr>
      <w:r w:rsidRPr="000C2E2D">
        <w:rPr>
          <w:rFonts w:eastAsia="Calibri"/>
          <w:color w:val="000000"/>
          <w:sz w:val="28"/>
          <w:szCs w:val="28"/>
          <w:lang w:val="uk-UA"/>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0C2E2D" w:rsidRPr="000C2E2D" w:rsidRDefault="000C2E2D" w:rsidP="000C2E2D">
      <w:pPr>
        <w:shd w:val="clear" w:color="auto" w:fill="FFFFFF"/>
        <w:ind w:firstLine="567"/>
        <w:jc w:val="center"/>
        <w:rPr>
          <w:rFonts w:eastAsia="Calibri"/>
          <w:b/>
          <w:color w:val="000000"/>
          <w:sz w:val="28"/>
          <w:szCs w:val="28"/>
          <w:lang w:val="uk-UA"/>
        </w:rPr>
      </w:pPr>
    </w:p>
    <w:p w:rsidR="000C2E2D" w:rsidRPr="000C2E2D" w:rsidRDefault="000C2E2D" w:rsidP="000C2E2D">
      <w:pPr>
        <w:shd w:val="clear" w:color="auto" w:fill="FFFFFF"/>
        <w:ind w:firstLine="567"/>
        <w:jc w:val="center"/>
        <w:rPr>
          <w:rFonts w:eastAsia="Calibri"/>
          <w:b/>
          <w:bCs/>
          <w:sz w:val="28"/>
          <w:szCs w:val="28"/>
          <w:lang w:val="uk-UA"/>
        </w:rPr>
      </w:pPr>
      <w:r w:rsidRPr="000C2E2D">
        <w:rPr>
          <w:rFonts w:eastAsia="Calibri"/>
          <w:b/>
          <w:bCs/>
          <w:sz w:val="28"/>
          <w:szCs w:val="28"/>
          <w:lang w:val="uk-UA"/>
        </w:rPr>
        <w:t>6.Орієнтовний фінансовий план програми</w:t>
      </w:r>
    </w:p>
    <w:p w:rsidR="000C2E2D" w:rsidRPr="000C2E2D" w:rsidRDefault="000C2E2D" w:rsidP="000C2E2D">
      <w:pPr>
        <w:shd w:val="clear" w:color="auto" w:fill="FFFFFF"/>
        <w:ind w:firstLine="567"/>
        <w:jc w:val="center"/>
        <w:rPr>
          <w:rFonts w:eastAsia="Calibri"/>
          <w:b/>
          <w:bCs/>
          <w:color w:val="000000"/>
          <w:sz w:val="27"/>
          <w:szCs w:val="27"/>
          <w:lang w:val="uk-UA"/>
        </w:rPr>
      </w:pP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0" w:name="bookmark9"/>
      <w:r w:rsidRPr="000C2E2D">
        <w:rPr>
          <w:rFonts w:eastAsia="Calibri"/>
          <w:color w:val="000000"/>
          <w:sz w:val="28"/>
          <w:szCs w:val="28"/>
          <w:lang w:val="uk-UA"/>
        </w:rPr>
        <w:t> </w:t>
      </w:r>
      <w:bookmarkEnd w:id="0"/>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Фінансування Програми може фінансуватися за рахунок коштів державного, обласного бюджетів, бюджету сільської територіальної громади, які передбачені для цих цілей, а також за рахунок коштів, які надходять в порядку відшкодування втрат сільськогосподарського виробництва. </w:t>
      </w:r>
    </w:p>
    <w:p w:rsidR="000C2E2D" w:rsidRPr="000C2E2D" w:rsidRDefault="000C2E2D" w:rsidP="000C2E2D">
      <w:pPr>
        <w:shd w:val="clear" w:color="auto" w:fill="FFFFFF"/>
        <w:ind w:firstLine="567"/>
        <w:jc w:val="both"/>
        <w:rPr>
          <w:rFonts w:eastAsia="Calibri"/>
          <w:color w:val="000000"/>
          <w:sz w:val="28"/>
          <w:szCs w:val="28"/>
          <w:lang w:val="uk-UA"/>
        </w:rPr>
      </w:pPr>
      <w:r w:rsidRPr="000C2E2D">
        <w:rPr>
          <w:rFonts w:eastAsia="Calibri"/>
          <w:color w:val="000000"/>
          <w:sz w:val="28"/>
          <w:szCs w:val="28"/>
          <w:lang w:val="uk-UA"/>
        </w:rPr>
        <w:t>Обсяги та умови фінансування Програми щороку уточняються під час підготовки проектів бюджету сільської територіальної громади на відповідний рік у межах видатків, передбачених на виконання завдань і заходів Програми.</w:t>
      </w:r>
    </w:p>
    <w:p w:rsidR="000C2E2D" w:rsidRPr="000C2E2D" w:rsidRDefault="000C2E2D" w:rsidP="000C2E2D">
      <w:pPr>
        <w:ind w:left="5670"/>
        <w:jc w:val="both"/>
        <w:rPr>
          <w:rFonts w:ascii="Calibri" w:hAnsi="Calibri"/>
          <w:b/>
          <w:bCs/>
          <w:color w:val="000000"/>
          <w:sz w:val="28"/>
          <w:lang w:val="uk-UA"/>
        </w:rPr>
      </w:pPr>
      <w:bookmarkStart w:id="1" w:name="61"/>
      <w:bookmarkStart w:id="2" w:name="63"/>
      <w:bookmarkEnd w:id="1"/>
      <w:bookmarkEnd w:id="2"/>
    </w:p>
    <w:p w:rsidR="000C2E2D" w:rsidRPr="000C2E2D" w:rsidRDefault="000C2E2D" w:rsidP="000C2E2D">
      <w:pPr>
        <w:ind w:left="9180" w:hanging="9180"/>
        <w:rPr>
          <w:sz w:val="28"/>
          <w:szCs w:val="28"/>
          <w:lang w:val="uk-UA"/>
        </w:rPr>
      </w:pPr>
    </w:p>
    <w:p w:rsidR="000C2E2D" w:rsidRPr="000C2E2D" w:rsidRDefault="000C2E2D" w:rsidP="000C2E2D">
      <w:pPr>
        <w:jc w:val="center"/>
        <w:rPr>
          <w:b/>
          <w:sz w:val="28"/>
          <w:szCs w:val="28"/>
          <w:lang w:val="uk-UA"/>
        </w:rPr>
      </w:pP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r w:rsidRPr="000C2E2D">
        <w:rPr>
          <w:b/>
          <w:sz w:val="28"/>
          <w:szCs w:val="28"/>
          <w:lang w:val="uk-UA"/>
        </w:rPr>
        <w:tab/>
      </w: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0C2E2D">
      <w:pPr>
        <w:jc w:val="center"/>
        <w:rPr>
          <w:b/>
          <w:sz w:val="28"/>
          <w:szCs w:val="28"/>
          <w:lang w:val="uk-UA"/>
        </w:rPr>
      </w:pPr>
    </w:p>
    <w:p w:rsidR="000C2E2D" w:rsidRPr="000C2E2D" w:rsidRDefault="000C2E2D" w:rsidP="006B5BB1">
      <w:pPr>
        <w:rPr>
          <w:b/>
          <w:sz w:val="20"/>
          <w:szCs w:val="20"/>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jc w:val="center"/>
        <w:rPr>
          <w:b/>
          <w:sz w:val="28"/>
          <w:szCs w:val="28"/>
          <w:lang w:val="uk-UA"/>
        </w:rPr>
      </w:pPr>
      <w:bookmarkStart w:id="3" w:name="_GoBack"/>
      <w:bookmarkEnd w:id="3"/>
    </w:p>
    <w:p w:rsidR="006B5BB1" w:rsidRPr="000C2E2D" w:rsidRDefault="006B5BB1" w:rsidP="006B5BB1">
      <w:pPr>
        <w:jc w:val="center"/>
        <w:rPr>
          <w:b/>
          <w:lang w:val="uk-UA"/>
        </w:rPr>
      </w:pPr>
      <w:r w:rsidRPr="000C2E2D">
        <w:rPr>
          <w:b/>
          <w:sz w:val="28"/>
          <w:szCs w:val="28"/>
          <w:lang w:val="uk-UA"/>
        </w:rPr>
        <w:t xml:space="preserve">                                                             </w:t>
      </w:r>
      <w:r w:rsidRPr="000C2E2D">
        <w:rPr>
          <w:b/>
          <w:sz w:val="28"/>
          <w:szCs w:val="28"/>
          <w:lang w:val="uk-UA"/>
        </w:rPr>
        <w:tab/>
      </w:r>
      <w:r w:rsidRPr="000C2E2D">
        <w:rPr>
          <w:b/>
          <w:lang w:val="uk-UA"/>
        </w:rPr>
        <w:t xml:space="preserve">Додаток 2 </w:t>
      </w:r>
    </w:p>
    <w:p w:rsidR="006B5BB1" w:rsidRPr="000C2E2D" w:rsidRDefault="006B5BB1" w:rsidP="006B5BB1">
      <w:pPr>
        <w:ind w:right="282"/>
        <w:jc w:val="center"/>
        <w:rPr>
          <w:b/>
          <w:lang w:val="uk-UA"/>
        </w:rPr>
      </w:pPr>
      <w:r w:rsidRPr="000C2E2D">
        <w:rPr>
          <w:b/>
          <w:lang w:val="uk-UA"/>
        </w:rPr>
        <w:tab/>
      </w:r>
      <w:r w:rsidRPr="000C2E2D">
        <w:rPr>
          <w:b/>
          <w:lang w:val="uk-UA"/>
        </w:rPr>
        <w:tab/>
      </w:r>
      <w:r w:rsidRPr="000C2E2D">
        <w:rPr>
          <w:b/>
          <w:lang w:val="uk-UA"/>
        </w:rPr>
        <w:tab/>
      </w:r>
      <w:r w:rsidRPr="000C2E2D">
        <w:rPr>
          <w:b/>
          <w:lang w:val="uk-UA"/>
        </w:rPr>
        <w:tab/>
      </w:r>
      <w:r w:rsidRPr="000C2E2D">
        <w:rPr>
          <w:b/>
          <w:lang w:val="uk-UA"/>
        </w:rPr>
        <w:tab/>
      </w:r>
      <w:r w:rsidRPr="000C2E2D">
        <w:rPr>
          <w:b/>
          <w:lang w:val="uk-UA"/>
        </w:rPr>
        <w:tab/>
      </w:r>
      <w:r w:rsidRPr="000C2E2D">
        <w:rPr>
          <w:b/>
          <w:lang w:val="uk-UA"/>
        </w:rPr>
        <w:tab/>
      </w:r>
      <w:r w:rsidRPr="000C2E2D">
        <w:rPr>
          <w:b/>
          <w:lang w:val="uk-UA"/>
        </w:rPr>
        <w:tab/>
        <w:t xml:space="preserve">до </w:t>
      </w:r>
      <w:r w:rsidRPr="000C2E2D">
        <w:rPr>
          <w:rFonts w:ascii="Times New Roman CYR" w:hAnsi="Times New Roman CYR" w:cs="Times New Roman CYR"/>
          <w:b/>
          <w:bCs/>
          <w:iCs/>
          <w:lang w:val="uk-UA"/>
        </w:rPr>
        <w:t xml:space="preserve">Програми  </w:t>
      </w:r>
    </w:p>
    <w:p w:rsidR="006B5BB1" w:rsidRPr="000C2E2D" w:rsidRDefault="006B5BB1" w:rsidP="006B5BB1">
      <w:pPr>
        <w:jc w:val="center"/>
        <w:rPr>
          <w:b/>
          <w:lang w:val="uk-UA"/>
        </w:rPr>
      </w:pPr>
    </w:p>
    <w:p w:rsidR="006B5BB1" w:rsidRPr="000C2E2D" w:rsidRDefault="006B5BB1" w:rsidP="006B5BB1">
      <w:pPr>
        <w:ind w:left="5670"/>
        <w:jc w:val="both"/>
        <w:rPr>
          <w:rStyle w:val="fontstyle01"/>
          <w:bCs/>
          <w:lang w:val="uk-UA"/>
        </w:rPr>
      </w:pPr>
    </w:p>
    <w:p w:rsidR="006B5BB1" w:rsidRPr="000C2E2D" w:rsidRDefault="006B5BB1" w:rsidP="006B5BB1">
      <w:pPr>
        <w:jc w:val="center"/>
        <w:rPr>
          <w:b/>
          <w:sz w:val="28"/>
          <w:szCs w:val="28"/>
          <w:lang w:val="uk-UA"/>
        </w:rPr>
      </w:pPr>
      <w:r w:rsidRPr="000C2E2D">
        <w:rPr>
          <w:b/>
          <w:sz w:val="28"/>
          <w:szCs w:val="28"/>
          <w:lang w:val="uk-UA"/>
        </w:rPr>
        <w:t xml:space="preserve">Ресурсне забезпечення </w:t>
      </w:r>
    </w:p>
    <w:p w:rsidR="006B5BB1" w:rsidRPr="000C2E2D" w:rsidRDefault="006B5BB1" w:rsidP="006B5BB1">
      <w:pPr>
        <w:jc w:val="center"/>
        <w:rPr>
          <w:b/>
          <w:color w:val="000000"/>
          <w:sz w:val="28"/>
          <w:szCs w:val="28"/>
          <w:lang w:val="uk-UA"/>
        </w:rPr>
      </w:pPr>
      <w:r w:rsidRPr="000C2E2D">
        <w:rPr>
          <w:b/>
          <w:sz w:val="28"/>
          <w:szCs w:val="28"/>
          <w:lang w:val="uk-UA"/>
        </w:rPr>
        <w:t>Програми  розвитку Земельних в</w:t>
      </w:r>
      <w:r w:rsidRPr="000C2E2D">
        <w:rPr>
          <w:b/>
          <w:sz w:val="28"/>
          <w:szCs w:val="28"/>
          <w:bdr w:val="none" w:sz="0" w:space="0" w:color="auto" w:frame="1"/>
          <w:lang w:val="uk-UA"/>
        </w:rPr>
        <w:t xml:space="preserve">ідносин та </w:t>
      </w:r>
      <w:r w:rsidRPr="000C2E2D">
        <w:rPr>
          <w:b/>
          <w:sz w:val="28"/>
          <w:szCs w:val="28"/>
          <w:lang w:val="uk-UA"/>
        </w:rPr>
        <w:t xml:space="preserve">розроблення Комплексного плану просторового розвитку території територіальної громади, генеральних планів населених пунктів, детальних планів території </w:t>
      </w:r>
      <w:r w:rsidRPr="000C2E2D">
        <w:rPr>
          <w:b/>
          <w:sz w:val="28"/>
          <w:szCs w:val="28"/>
          <w:bdr w:val="none" w:sz="0" w:space="0" w:color="auto" w:frame="1"/>
          <w:lang w:val="uk-UA"/>
        </w:rPr>
        <w:t>Великосеверинівської сільської ради на 2024 –2026 роки</w:t>
      </w:r>
    </w:p>
    <w:p w:rsidR="006B5BB1" w:rsidRPr="000C2E2D" w:rsidRDefault="006B5BB1" w:rsidP="006B5BB1">
      <w:pPr>
        <w:ind w:firstLine="720"/>
        <w:jc w:val="right"/>
        <w:rPr>
          <w:sz w:val="28"/>
          <w:szCs w:val="28"/>
          <w:lang w:val="uk-UA"/>
        </w:rPr>
      </w:pPr>
    </w:p>
    <w:tbl>
      <w:tblPr>
        <w:tblW w:w="9385" w:type="dxa"/>
        <w:tblInd w:w="-35" w:type="dxa"/>
        <w:tblLayout w:type="fixed"/>
        <w:tblLook w:val="0000" w:firstRow="0" w:lastRow="0" w:firstColumn="0" w:lastColumn="0" w:noHBand="0" w:noVBand="0"/>
      </w:tblPr>
      <w:tblGrid>
        <w:gridCol w:w="2695"/>
        <w:gridCol w:w="1701"/>
        <w:gridCol w:w="1701"/>
        <w:gridCol w:w="1701"/>
        <w:gridCol w:w="1587"/>
      </w:tblGrid>
      <w:tr w:rsidR="006B5BB1" w:rsidRPr="000C2E2D" w:rsidTr="00236EE6">
        <w:trPr>
          <w:cantSplit/>
        </w:trPr>
        <w:tc>
          <w:tcPr>
            <w:tcW w:w="2695" w:type="dxa"/>
            <w:vMerge w:val="restart"/>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b/>
                <w:sz w:val="28"/>
                <w:szCs w:val="28"/>
                <w:lang w:val="uk-UA"/>
              </w:rPr>
            </w:pPr>
            <w:r w:rsidRPr="000C2E2D">
              <w:rPr>
                <w:b/>
                <w:sz w:val="28"/>
                <w:szCs w:val="28"/>
                <w:lang w:val="uk-UA"/>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6B5BB1" w:rsidRPr="000C2E2D" w:rsidRDefault="006B5BB1" w:rsidP="00236EE6">
            <w:pPr>
              <w:jc w:val="center"/>
              <w:rPr>
                <w:b/>
                <w:sz w:val="28"/>
                <w:szCs w:val="28"/>
                <w:lang w:val="uk-UA"/>
              </w:rPr>
            </w:pPr>
            <w:r w:rsidRPr="000C2E2D">
              <w:rPr>
                <w:b/>
                <w:sz w:val="28"/>
                <w:szCs w:val="28"/>
                <w:lang w:val="uk-UA"/>
              </w:rPr>
              <w:t>Етапи виконання програми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jc w:val="center"/>
              <w:rPr>
                <w:b/>
                <w:sz w:val="28"/>
                <w:szCs w:val="28"/>
                <w:lang w:val="uk-UA"/>
              </w:rPr>
            </w:pPr>
            <w:r w:rsidRPr="000C2E2D">
              <w:rPr>
                <w:b/>
                <w:sz w:val="28"/>
                <w:szCs w:val="28"/>
                <w:lang w:val="uk-UA"/>
              </w:rPr>
              <w:t>Усього витрат на виконання програми (</w:t>
            </w:r>
            <w:proofErr w:type="spellStart"/>
            <w:r w:rsidRPr="000C2E2D">
              <w:rPr>
                <w:b/>
                <w:sz w:val="28"/>
                <w:szCs w:val="28"/>
                <w:lang w:val="uk-UA"/>
              </w:rPr>
              <w:t>тис.грн</w:t>
            </w:r>
            <w:proofErr w:type="spellEnd"/>
            <w:r w:rsidRPr="000C2E2D">
              <w:rPr>
                <w:b/>
                <w:sz w:val="28"/>
                <w:szCs w:val="28"/>
                <w:lang w:val="uk-UA"/>
              </w:rPr>
              <w:t>.)</w:t>
            </w:r>
          </w:p>
        </w:tc>
      </w:tr>
      <w:tr w:rsidR="006B5BB1" w:rsidRPr="000C2E2D" w:rsidTr="00236EE6">
        <w:trPr>
          <w:cantSplit/>
        </w:trPr>
        <w:tc>
          <w:tcPr>
            <w:tcW w:w="2695" w:type="dxa"/>
            <w:vMerge/>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2024рік</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2025рік</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2026рік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b/>
                <w:sz w:val="28"/>
                <w:szCs w:val="28"/>
                <w:lang w:val="uk-UA"/>
              </w:rPr>
            </w:pPr>
          </w:p>
        </w:tc>
      </w:tr>
      <w:tr w:rsidR="006B5BB1" w:rsidRPr="000C2E2D" w:rsidTr="00236EE6">
        <w:trPr>
          <w:trHeight w:val="227"/>
        </w:trPr>
        <w:tc>
          <w:tcPr>
            <w:tcW w:w="2695"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Усього </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2500,00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2500,00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3500,00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8500,00</w:t>
            </w:r>
          </w:p>
        </w:tc>
      </w:tr>
      <w:tr w:rsidR="006B5BB1" w:rsidRPr="000C2E2D" w:rsidTr="00236EE6">
        <w:trPr>
          <w:trHeight w:val="348"/>
        </w:trPr>
        <w:tc>
          <w:tcPr>
            <w:tcW w:w="2695"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місцевий бюджет, у тому числі:</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r w:rsidRPr="000C2E2D">
              <w:rPr>
                <w:b/>
                <w:sz w:val="28"/>
                <w:szCs w:val="28"/>
                <w:lang w:val="uk-UA"/>
              </w:rPr>
              <w:t>1000,00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r w:rsidRPr="000C2E2D">
              <w:rPr>
                <w:b/>
                <w:sz w:val="28"/>
                <w:szCs w:val="28"/>
                <w:lang w:val="uk-UA"/>
              </w:rPr>
              <w:t>1500,0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r w:rsidRPr="000C2E2D">
              <w:rPr>
                <w:b/>
                <w:sz w:val="28"/>
                <w:szCs w:val="28"/>
                <w:lang w:val="uk-UA"/>
              </w:rPr>
              <w:t>2000,00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b/>
                <w:sz w:val="28"/>
                <w:szCs w:val="28"/>
                <w:lang w:val="uk-UA"/>
              </w:rPr>
            </w:pPr>
            <w:r w:rsidRPr="000C2E2D">
              <w:rPr>
                <w:b/>
                <w:sz w:val="28"/>
                <w:szCs w:val="28"/>
                <w:lang w:val="uk-UA"/>
              </w:rPr>
              <w:t>4500,00</w:t>
            </w:r>
          </w:p>
        </w:tc>
      </w:tr>
      <w:tr w:rsidR="006B5BB1" w:rsidRPr="000C2E2D" w:rsidTr="00236EE6">
        <w:trPr>
          <w:trHeight w:val="348"/>
        </w:trPr>
        <w:tc>
          <w:tcPr>
            <w:tcW w:w="2695"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uppressAutoHyphens/>
              <w:rPr>
                <w:b/>
                <w:sz w:val="28"/>
                <w:szCs w:val="28"/>
                <w:lang w:val="uk-UA"/>
              </w:rPr>
            </w:pPr>
            <w:proofErr w:type="spellStart"/>
            <w:r w:rsidRPr="000C2E2D">
              <w:rPr>
                <w:b/>
                <w:sz w:val="28"/>
                <w:szCs w:val="28"/>
                <w:lang w:val="uk-UA"/>
              </w:rPr>
              <w:t>-обласний</w:t>
            </w:r>
            <w:proofErr w:type="spellEnd"/>
            <w:r w:rsidRPr="000C2E2D">
              <w:rPr>
                <w:b/>
                <w:sz w:val="28"/>
                <w:szCs w:val="28"/>
                <w:lang w:val="uk-UA"/>
              </w:rPr>
              <w:t xml:space="preserve"> </w:t>
            </w:r>
          </w:p>
          <w:p w:rsidR="006B5BB1" w:rsidRPr="000C2E2D" w:rsidRDefault="006B5BB1" w:rsidP="00236EE6">
            <w:pPr>
              <w:rPr>
                <w:b/>
                <w:sz w:val="28"/>
                <w:szCs w:val="28"/>
                <w:lang w:val="uk-UA"/>
              </w:rPr>
            </w:pPr>
            <w:r w:rsidRPr="000C2E2D">
              <w:rPr>
                <w:b/>
                <w:sz w:val="28"/>
                <w:szCs w:val="28"/>
                <w:lang w:val="uk-UA"/>
              </w:rPr>
              <w:t>бюджет</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snapToGrid w:val="0"/>
              <w:rPr>
                <w:b/>
                <w:sz w:val="28"/>
                <w:szCs w:val="28"/>
                <w:lang w:val="uk-UA"/>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snapToGrid w:val="0"/>
              <w:rPr>
                <w:b/>
                <w:sz w:val="28"/>
                <w:szCs w:val="28"/>
                <w:lang w:val="uk-UA"/>
              </w:rPr>
            </w:pPr>
          </w:p>
        </w:tc>
      </w:tr>
      <w:tr w:rsidR="006B5BB1" w:rsidRPr="000C2E2D" w:rsidTr="00236EE6">
        <w:tc>
          <w:tcPr>
            <w:tcW w:w="2695"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proofErr w:type="spellStart"/>
            <w:r w:rsidRPr="000C2E2D">
              <w:rPr>
                <w:b/>
                <w:sz w:val="28"/>
                <w:szCs w:val="28"/>
                <w:lang w:val="uk-UA"/>
              </w:rPr>
              <w:t>-інші</w:t>
            </w:r>
            <w:proofErr w:type="spellEnd"/>
            <w:r w:rsidRPr="000C2E2D">
              <w:rPr>
                <w:b/>
                <w:sz w:val="28"/>
                <w:szCs w:val="28"/>
                <w:lang w:val="uk-UA"/>
              </w:rPr>
              <w:t xml:space="preserve"> бюджети</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1500,000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1000,00</w:t>
            </w:r>
          </w:p>
        </w:tc>
        <w:tc>
          <w:tcPr>
            <w:tcW w:w="1701" w:type="dxa"/>
            <w:tcBorders>
              <w:top w:val="single" w:sz="4" w:space="0" w:color="000000"/>
              <w:left w:val="single" w:sz="4" w:space="0" w:color="000000"/>
              <w:bottom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 xml:space="preserve"> 1500,00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B5BB1" w:rsidRPr="000C2E2D" w:rsidRDefault="006B5BB1" w:rsidP="00236EE6">
            <w:pPr>
              <w:rPr>
                <w:b/>
                <w:sz w:val="28"/>
                <w:szCs w:val="28"/>
                <w:lang w:val="uk-UA"/>
              </w:rPr>
            </w:pPr>
            <w:r w:rsidRPr="000C2E2D">
              <w:rPr>
                <w:b/>
                <w:sz w:val="28"/>
                <w:szCs w:val="28"/>
                <w:lang w:val="uk-UA"/>
              </w:rPr>
              <w:t xml:space="preserve"> 4000,00</w:t>
            </w:r>
          </w:p>
        </w:tc>
      </w:tr>
    </w:tbl>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left="5670"/>
        <w:jc w:val="both"/>
        <w:rPr>
          <w:rStyle w:val="fontstyle01"/>
          <w:bCs/>
          <w:lang w:val="uk-UA"/>
        </w:rPr>
      </w:pPr>
    </w:p>
    <w:p w:rsidR="006B5BB1" w:rsidRPr="000C2E2D" w:rsidRDefault="006B5BB1" w:rsidP="006B5BB1">
      <w:pPr>
        <w:ind w:firstLine="720"/>
        <w:jc w:val="center"/>
        <w:rPr>
          <w:color w:val="FFFFFF" w:themeColor="background1"/>
          <w:sz w:val="28"/>
          <w:szCs w:val="28"/>
          <w:lang w:val="uk-UA"/>
        </w:rPr>
      </w:pPr>
      <w:r w:rsidRPr="000C2E2D">
        <w:rPr>
          <w:b/>
          <w:color w:val="FFFFFF" w:themeColor="background1"/>
          <w:sz w:val="28"/>
          <w:szCs w:val="28"/>
          <w:lang w:val="uk-UA"/>
        </w:rPr>
        <w:t>Напрями діяльності та заходи місцевих програми</w:t>
      </w:r>
      <w:r w:rsidRPr="000C2E2D">
        <w:rPr>
          <w:color w:val="FFFFFF" w:themeColor="background1"/>
          <w:sz w:val="28"/>
          <w:szCs w:val="28"/>
          <w:lang w:val="uk-UA"/>
        </w:rPr>
        <w:t xml:space="preserve"> </w:t>
      </w:r>
    </w:p>
    <w:p w:rsidR="006B5BB1" w:rsidRPr="000C2E2D" w:rsidRDefault="006B5BB1" w:rsidP="006B5BB1">
      <w:pPr>
        <w:rPr>
          <w:lang w:val="uk-UA"/>
        </w:rPr>
      </w:pPr>
      <w:r w:rsidRPr="000C2E2D">
        <w:rPr>
          <w:b/>
          <w:color w:val="FFFFFF" w:themeColor="background1"/>
          <w:sz w:val="28"/>
          <w:szCs w:val="28"/>
          <w:lang w:val="uk-UA"/>
        </w:rPr>
        <w:t xml:space="preserve">Програма  </w:t>
      </w:r>
      <w:proofErr w:type="spellStart"/>
      <w:r w:rsidRPr="000C2E2D">
        <w:rPr>
          <w:b/>
          <w:color w:val="FFFFFF" w:themeColor="background1"/>
          <w:sz w:val="28"/>
          <w:szCs w:val="28"/>
          <w:lang w:val="uk-UA"/>
        </w:rPr>
        <w:t>розвику</w:t>
      </w:r>
      <w:proofErr w:type="spellEnd"/>
      <w:r w:rsidRPr="000C2E2D">
        <w:rPr>
          <w:b/>
          <w:color w:val="FFFFFF" w:themeColor="background1"/>
          <w:sz w:val="28"/>
          <w:szCs w:val="28"/>
          <w:lang w:val="uk-UA"/>
        </w:rPr>
        <w:t xml:space="preserve"> Земельних в</w:t>
      </w:r>
      <w:r w:rsidRPr="000C2E2D">
        <w:rPr>
          <w:b/>
          <w:color w:val="FFFFFF" w:themeColor="background1"/>
          <w:sz w:val="28"/>
          <w:szCs w:val="28"/>
          <w:bdr w:val="none" w:sz="0" w:space="0" w:color="auto" w:frame="1"/>
          <w:lang w:val="uk-UA"/>
        </w:rPr>
        <w:t xml:space="preserve">ідносин та </w:t>
      </w:r>
      <w:r w:rsidRPr="000C2E2D">
        <w:rPr>
          <w:b/>
          <w:color w:val="FFFFFF" w:themeColor="background1"/>
          <w:sz w:val="28"/>
          <w:szCs w:val="28"/>
          <w:lang w:val="uk-UA"/>
        </w:rPr>
        <w:t xml:space="preserve">розроблення </w:t>
      </w:r>
      <w:proofErr w:type="spellStart"/>
      <w:r w:rsidRPr="000C2E2D">
        <w:rPr>
          <w:b/>
          <w:color w:val="FFFFFF" w:themeColor="background1"/>
          <w:sz w:val="28"/>
          <w:szCs w:val="28"/>
          <w:lang w:val="uk-UA"/>
        </w:rPr>
        <w:t>Комплексн</w:t>
      </w:r>
      <w:proofErr w:type="spellEnd"/>
    </w:p>
    <w:sectPr w:rsidR="006B5BB1" w:rsidRPr="000C2E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1E0B"/>
    <w:multiLevelType w:val="hybridMultilevel"/>
    <w:tmpl w:val="DF869CEA"/>
    <w:lvl w:ilvl="0" w:tplc="C290C2C6">
      <w:start w:val="1"/>
      <w:numFmt w:val="decimal"/>
      <w:lvlText w:val="%1."/>
      <w:lvlJc w:val="left"/>
      <w:pPr>
        <w:ind w:left="927" w:hanging="360"/>
      </w:pPr>
      <w:rPr>
        <w:rFonts w:hint="default"/>
        <w:b/>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B1"/>
    <w:rsid w:val="000830BE"/>
    <w:rsid w:val="000C2E2D"/>
    <w:rsid w:val="00106592"/>
    <w:rsid w:val="00487F56"/>
    <w:rsid w:val="004A6CF2"/>
    <w:rsid w:val="006B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B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830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customStyle="1" w:styleId="11">
    <w:name w:val="Абзац списку1"/>
    <w:basedOn w:val="a"/>
    <w:rsid w:val="006B5BB1"/>
    <w:pPr>
      <w:widowControl w:val="0"/>
      <w:ind w:left="720"/>
      <w:contextualSpacing/>
    </w:pPr>
    <w:rPr>
      <w:rFonts w:ascii="Arial Unicode MS" w:eastAsia="Arial Unicode MS" w:hAnsi="Arial Unicode MS" w:cs="Arial Unicode MS"/>
      <w:color w:val="000000"/>
      <w:lang w:val="uk-UA" w:eastAsia="uk-UA"/>
    </w:rPr>
  </w:style>
  <w:style w:type="character" w:customStyle="1" w:styleId="fontstyle01">
    <w:name w:val="fontstyle01"/>
    <w:rsid w:val="006B5BB1"/>
    <w:rPr>
      <w:rFonts w:ascii="TimesNewRomanPS-BoldMT" w:hAnsi="TimesNewRomanPS-BoldMT"/>
      <w:b/>
      <w:color w:val="000000"/>
      <w:sz w:val="28"/>
    </w:rPr>
  </w:style>
  <w:style w:type="paragraph" w:styleId="a3">
    <w:name w:val="Balloon Text"/>
    <w:basedOn w:val="a"/>
    <w:link w:val="a4"/>
    <w:uiPriority w:val="99"/>
    <w:semiHidden/>
    <w:unhideWhenUsed/>
    <w:rsid w:val="000C2E2D"/>
    <w:rPr>
      <w:rFonts w:ascii="Tahoma" w:hAnsi="Tahoma" w:cs="Tahoma"/>
      <w:sz w:val="16"/>
      <w:szCs w:val="16"/>
    </w:rPr>
  </w:style>
  <w:style w:type="character" w:customStyle="1" w:styleId="a4">
    <w:name w:val="Текст выноски Знак"/>
    <w:basedOn w:val="a0"/>
    <w:link w:val="a3"/>
    <w:uiPriority w:val="99"/>
    <w:semiHidden/>
    <w:rsid w:val="000C2E2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B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830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customStyle="1" w:styleId="11">
    <w:name w:val="Абзац списку1"/>
    <w:basedOn w:val="a"/>
    <w:rsid w:val="006B5BB1"/>
    <w:pPr>
      <w:widowControl w:val="0"/>
      <w:ind w:left="720"/>
      <w:contextualSpacing/>
    </w:pPr>
    <w:rPr>
      <w:rFonts w:ascii="Arial Unicode MS" w:eastAsia="Arial Unicode MS" w:hAnsi="Arial Unicode MS" w:cs="Arial Unicode MS"/>
      <w:color w:val="000000"/>
      <w:lang w:val="uk-UA" w:eastAsia="uk-UA"/>
    </w:rPr>
  </w:style>
  <w:style w:type="character" w:customStyle="1" w:styleId="fontstyle01">
    <w:name w:val="fontstyle01"/>
    <w:rsid w:val="006B5BB1"/>
    <w:rPr>
      <w:rFonts w:ascii="TimesNewRomanPS-BoldMT" w:hAnsi="TimesNewRomanPS-BoldMT"/>
      <w:b/>
      <w:color w:val="000000"/>
      <w:sz w:val="28"/>
    </w:rPr>
  </w:style>
  <w:style w:type="paragraph" w:styleId="a3">
    <w:name w:val="Balloon Text"/>
    <w:basedOn w:val="a"/>
    <w:link w:val="a4"/>
    <w:uiPriority w:val="99"/>
    <w:semiHidden/>
    <w:unhideWhenUsed/>
    <w:rsid w:val="000C2E2D"/>
    <w:rPr>
      <w:rFonts w:ascii="Tahoma" w:hAnsi="Tahoma" w:cs="Tahoma"/>
      <w:sz w:val="16"/>
      <w:szCs w:val="16"/>
    </w:rPr>
  </w:style>
  <w:style w:type="character" w:customStyle="1" w:styleId="a4">
    <w:name w:val="Текст выноски Знак"/>
    <w:basedOn w:val="a0"/>
    <w:link w:val="a3"/>
    <w:uiPriority w:val="99"/>
    <w:semiHidden/>
    <w:rsid w:val="000C2E2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15273</Words>
  <Characters>8707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Алла</cp:lastModifiedBy>
  <cp:revision>2</cp:revision>
  <dcterms:created xsi:type="dcterms:W3CDTF">2024-01-05T09:59:00Z</dcterms:created>
  <dcterms:modified xsi:type="dcterms:W3CDTF">2024-01-05T09:59:00Z</dcterms:modified>
</cp:coreProperties>
</file>