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C3" w:rsidRPr="000E668A" w:rsidRDefault="006C47C3" w:rsidP="006C47C3">
      <w:pPr>
        <w:tabs>
          <w:tab w:val="left" w:pos="4536"/>
          <w:tab w:val="left" w:pos="8364"/>
          <w:tab w:val="left" w:pos="9356"/>
        </w:tabs>
        <w:spacing w:after="0"/>
        <w:jc w:val="center"/>
        <w:rPr>
          <w:rFonts w:eastAsiaTheme="minorEastAsia"/>
          <w:color w:val="00B050"/>
          <w:szCs w:val="28"/>
          <w:lang w:val="uk-UA" w:eastAsia="ru-RU"/>
        </w:rPr>
      </w:pPr>
      <w:r w:rsidRPr="000E668A">
        <w:rPr>
          <w:rFonts w:eastAsiaTheme="minorEastAsia"/>
          <w:noProof/>
          <w:szCs w:val="28"/>
          <w:lang w:val="uk-UA" w:eastAsia="uk-UA"/>
        </w:rPr>
        <w:drawing>
          <wp:inline distT="0" distB="0" distL="0" distR="0">
            <wp:extent cx="457200" cy="601980"/>
            <wp:effectExtent l="0" t="0" r="0" b="7620"/>
            <wp:docPr id="39" name="Рисунок 3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7C3" w:rsidRPr="000E668A" w:rsidRDefault="006C47C3" w:rsidP="006C47C3">
      <w:pPr>
        <w:tabs>
          <w:tab w:val="left" w:pos="8364"/>
          <w:tab w:val="left" w:pos="9356"/>
        </w:tabs>
        <w:spacing w:after="0"/>
        <w:jc w:val="center"/>
        <w:rPr>
          <w:rFonts w:eastAsiaTheme="minorEastAsia"/>
          <w:szCs w:val="28"/>
          <w:lang w:val="uk-UA" w:eastAsia="ru-RU"/>
        </w:rPr>
      </w:pPr>
    </w:p>
    <w:p w:rsidR="00DF5231" w:rsidRDefault="006C47C3" w:rsidP="006C47C3">
      <w:pPr>
        <w:tabs>
          <w:tab w:val="left" w:pos="8364"/>
          <w:tab w:val="left" w:pos="9356"/>
        </w:tabs>
        <w:spacing w:after="0"/>
        <w:jc w:val="center"/>
        <w:rPr>
          <w:rFonts w:eastAsiaTheme="minorEastAsia"/>
          <w:b/>
          <w:szCs w:val="28"/>
          <w:lang w:val="uk-UA" w:eastAsia="ru-RU"/>
        </w:rPr>
      </w:pPr>
      <w:r w:rsidRPr="000E668A">
        <w:rPr>
          <w:rFonts w:eastAsiaTheme="minorEastAsia"/>
          <w:b/>
          <w:szCs w:val="28"/>
          <w:lang w:val="uk-UA" w:eastAsia="ru-RU"/>
        </w:rPr>
        <w:t>ВЕЛИКОСЕВЕРИНІВСЬКА СІЛЬСЬКА РАДА</w:t>
      </w:r>
    </w:p>
    <w:p w:rsidR="006C47C3" w:rsidRPr="000E668A" w:rsidRDefault="006C47C3" w:rsidP="006C47C3">
      <w:pPr>
        <w:tabs>
          <w:tab w:val="left" w:pos="8364"/>
          <w:tab w:val="left" w:pos="9356"/>
        </w:tabs>
        <w:spacing w:after="0"/>
        <w:jc w:val="center"/>
        <w:rPr>
          <w:rFonts w:eastAsiaTheme="minorEastAsia"/>
          <w:b/>
          <w:szCs w:val="28"/>
          <w:lang w:val="uk-UA" w:eastAsia="ru-RU"/>
        </w:rPr>
      </w:pPr>
      <w:r w:rsidRPr="000E668A">
        <w:rPr>
          <w:rFonts w:eastAsiaTheme="minorEastAsia"/>
          <w:b/>
          <w:szCs w:val="28"/>
          <w:lang w:val="uk-UA" w:eastAsia="ru-RU"/>
        </w:rPr>
        <w:t>КРОПИВНИЦЬКОГО РАЙОНУ КІРОВОГРАДСЬКОЇ ОБЛАСТІ</w:t>
      </w:r>
    </w:p>
    <w:p w:rsidR="006C47C3" w:rsidRPr="00195C44" w:rsidRDefault="00A63E2D" w:rsidP="006C47C3">
      <w:pPr>
        <w:tabs>
          <w:tab w:val="left" w:pos="8364"/>
          <w:tab w:val="left" w:pos="9356"/>
        </w:tabs>
        <w:spacing w:after="0"/>
        <w:jc w:val="center"/>
        <w:rPr>
          <w:rFonts w:eastAsia="Times New Roman"/>
          <w:b/>
          <w:szCs w:val="28"/>
          <w:lang w:val="uk-UA" w:eastAsia="ru-RU"/>
        </w:rPr>
      </w:pPr>
      <w:r>
        <w:rPr>
          <w:rFonts w:eastAsia="Times New Roman"/>
          <w:b/>
          <w:szCs w:val="28"/>
          <w:lang w:val="uk-UA" w:eastAsia="ru-RU"/>
        </w:rPr>
        <w:t xml:space="preserve">СОРОК ДРУГА </w:t>
      </w:r>
      <w:r w:rsidR="006C47C3" w:rsidRPr="00195C44">
        <w:rPr>
          <w:rFonts w:eastAsia="Times New Roman"/>
          <w:b/>
          <w:szCs w:val="28"/>
          <w:lang w:val="uk-UA" w:eastAsia="ru-RU"/>
        </w:rPr>
        <w:t>СЕСІЯ ВОСЬМОГО СКЛИКАННЯ</w:t>
      </w:r>
    </w:p>
    <w:p w:rsidR="006C47C3" w:rsidRPr="00195C44" w:rsidRDefault="006C47C3" w:rsidP="006C47C3">
      <w:pPr>
        <w:tabs>
          <w:tab w:val="left" w:pos="8364"/>
          <w:tab w:val="left" w:pos="9356"/>
        </w:tabs>
        <w:spacing w:after="0"/>
        <w:jc w:val="center"/>
        <w:rPr>
          <w:rFonts w:eastAsia="Kozuka Gothic Pro M"/>
          <w:b/>
          <w:szCs w:val="28"/>
          <w:lang w:val="uk-UA" w:eastAsia="ru-RU"/>
        </w:rPr>
      </w:pPr>
    </w:p>
    <w:p w:rsidR="006C47C3" w:rsidRPr="00195C44" w:rsidRDefault="006C47C3" w:rsidP="006C47C3">
      <w:pPr>
        <w:tabs>
          <w:tab w:val="left" w:pos="8364"/>
          <w:tab w:val="left" w:pos="9356"/>
        </w:tabs>
        <w:spacing w:after="0"/>
        <w:jc w:val="center"/>
        <w:rPr>
          <w:rFonts w:eastAsia="Kozuka Gothic Pro M"/>
          <w:b/>
          <w:sz w:val="32"/>
          <w:szCs w:val="32"/>
          <w:lang w:val="uk-UA" w:eastAsia="ru-RU"/>
        </w:rPr>
      </w:pPr>
      <w:r w:rsidRPr="00195C44">
        <w:rPr>
          <w:rFonts w:eastAsia="Kozuka Gothic Pro M"/>
          <w:b/>
          <w:sz w:val="32"/>
          <w:szCs w:val="32"/>
          <w:lang w:val="uk-UA" w:eastAsia="ru-RU"/>
        </w:rPr>
        <w:t>РІШЕННЯ</w:t>
      </w:r>
    </w:p>
    <w:p w:rsidR="00981583" w:rsidRDefault="006C47C3" w:rsidP="00A63E2D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textAlignment w:val="baseline"/>
        <w:rPr>
          <w:rFonts w:eastAsia="Arial Unicode MS" w:cs="Tahoma"/>
          <w:kern w:val="3"/>
          <w:szCs w:val="28"/>
          <w:lang w:val="uk-UA" w:eastAsia="ru-RU" w:bidi="en-US"/>
        </w:rPr>
      </w:pPr>
      <w:r w:rsidRPr="00195C44">
        <w:rPr>
          <w:rFonts w:eastAsia="Arial Unicode MS" w:cs="Tahoma"/>
          <w:kern w:val="3"/>
          <w:szCs w:val="28"/>
          <w:lang w:val="uk-UA" w:eastAsia="ru-RU" w:bidi="en-US"/>
        </w:rPr>
        <w:t xml:space="preserve">від </w:t>
      </w:r>
      <w:r w:rsidR="00A63E2D">
        <w:rPr>
          <w:rFonts w:eastAsia="Arial Unicode MS" w:cs="Tahoma"/>
          <w:kern w:val="3"/>
          <w:szCs w:val="28"/>
          <w:lang w:val="uk-UA" w:eastAsia="ru-RU" w:bidi="en-US"/>
        </w:rPr>
        <w:t xml:space="preserve">18 квітня </w:t>
      </w:r>
      <w:r w:rsidRPr="00195C44">
        <w:rPr>
          <w:rFonts w:eastAsia="Arial Unicode MS" w:cs="Tahoma"/>
          <w:kern w:val="3"/>
          <w:szCs w:val="28"/>
          <w:lang w:val="uk-UA" w:eastAsia="ru-RU" w:bidi="en-US"/>
        </w:rPr>
        <w:t>202</w:t>
      </w:r>
      <w:r>
        <w:rPr>
          <w:rFonts w:eastAsia="Arial Unicode MS" w:cs="Tahoma"/>
          <w:kern w:val="3"/>
          <w:szCs w:val="28"/>
          <w:lang w:val="uk-UA" w:eastAsia="ru-RU" w:bidi="en-US"/>
        </w:rPr>
        <w:t>4</w:t>
      </w:r>
      <w:r w:rsidRPr="00195C44">
        <w:rPr>
          <w:rFonts w:eastAsia="Arial Unicode MS" w:cs="Tahoma"/>
          <w:kern w:val="3"/>
          <w:szCs w:val="28"/>
          <w:lang w:val="uk-UA" w:eastAsia="ru-RU" w:bidi="en-US"/>
        </w:rPr>
        <w:t xml:space="preserve"> року        </w:t>
      </w:r>
      <w:r w:rsidR="00A63E2D">
        <w:rPr>
          <w:rFonts w:eastAsia="Arial Unicode MS" w:cs="Tahoma"/>
          <w:kern w:val="3"/>
          <w:szCs w:val="28"/>
          <w:lang w:val="uk-UA" w:eastAsia="ru-RU" w:bidi="en-US"/>
        </w:rPr>
        <w:t xml:space="preserve">                                                    </w:t>
      </w:r>
      <w:r w:rsidRPr="00195C44">
        <w:rPr>
          <w:rFonts w:eastAsia="Arial Unicode MS" w:cs="Tahoma"/>
          <w:kern w:val="3"/>
          <w:szCs w:val="28"/>
          <w:lang w:val="uk-UA" w:eastAsia="ru-RU" w:bidi="en-US"/>
        </w:rPr>
        <w:t xml:space="preserve">                     №</w:t>
      </w:r>
      <w:r w:rsidR="00A63E2D">
        <w:rPr>
          <w:rFonts w:eastAsia="Arial Unicode MS" w:cs="Tahoma"/>
          <w:kern w:val="3"/>
          <w:szCs w:val="28"/>
          <w:lang w:val="uk-UA" w:eastAsia="ru-RU" w:bidi="en-US"/>
        </w:rPr>
        <w:t xml:space="preserve"> 1535</w:t>
      </w:r>
    </w:p>
    <w:p w:rsidR="006C47C3" w:rsidRPr="00195C44" w:rsidRDefault="006C47C3" w:rsidP="006C47C3">
      <w:pPr>
        <w:widowControl w:val="0"/>
        <w:tabs>
          <w:tab w:val="left" w:pos="210"/>
          <w:tab w:val="left" w:pos="615"/>
          <w:tab w:val="left" w:pos="1110"/>
          <w:tab w:val="left" w:pos="1290"/>
          <w:tab w:val="left" w:pos="2340"/>
          <w:tab w:val="left" w:pos="2595"/>
          <w:tab w:val="left" w:pos="2760"/>
          <w:tab w:val="left" w:pos="3537"/>
          <w:tab w:val="left" w:pos="4152"/>
          <w:tab w:val="left" w:pos="8364"/>
          <w:tab w:val="left" w:pos="9356"/>
        </w:tabs>
        <w:suppressAutoHyphens/>
        <w:autoSpaceDN w:val="0"/>
        <w:spacing w:after="0"/>
        <w:jc w:val="center"/>
        <w:textAlignment w:val="baseline"/>
        <w:rPr>
          <w:rFonts w:eastAsia="Arial Unicode MS" w:cs="Tahoma"/>
          <w:kern w:val="3"/>
          <w:sz w:val="26"/>
          <w:szCs w:val="26"/>
          <w:lang w:val="uk-UA" w:eastAsia="ru-RU" w:bidi="en-US"/>
        </w:rPr>
      </w:pPr>
      <w:r w:rsidRPr="00195C44">
        <w:rPr>
          <w:rFonts w:eastAsia="Arial Unicode MS" w:cs="Tahoma"/>
          <w:kern w:val="3"/>
          <w:sz w:val="26"/>
          <w:szCs w:val="26"/>
          <w:lang w:val="uk-UA" w:eastAsia="ru-RU" w:bidi="en-US"/>
        </w:rPr>
        <w:t xml:space="preserve">      с. Велика Северинка</w:t>
      </w:r>
    </w:p>
    <w:p w:rsidR="006C47C3" w:rsidRDefault="006C47C3" w:rsidP="006C47C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szCs w:val="28"/>
          <w:lang w:val="uk-UA" w:eastAsia="ru-RU"/>
        </w:rPr>
      </w:pPr>
    </w:p>
    <w:p w:rsidR="006C47C3" w:rsidRPr="0038462D" w:rsidRDefault="006C47C3" w:rsidP="006C47C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i/>
          <w:iCs/>
          <w:szCs w:val="28"/>
          <w:lang w:val="uk-UA" w:eastAsia="ru-RU"/>
        </w:rPr>
      </w:pPr>
      <w:r w:rsidRPr="0038462D">
        <w:rPr>
          <w:rFonts w:eastAsia="Times New Roman" w:cs="Times New Roman"/>
          <w:b/>
          <w:bCs/>
          <w:szCs w:val="28"/>
          <w:lang w:val="uk-UA" w:eastAsia="ru-RU"/>
        </w:rPr>
        <w:t>Про затвердження містобудівної документації</w:t>
      </w:r>
    </w:p>
    <w:p w:rsidR="00FD2F8B" w:rsidRDefault="006C47C3" w:rsidP="006C47C3">
      <w:pPr>
        <w:tabs>
          <w:tab w:val="left" w:pos="720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38462D">
        <w:rPr>
          <w:rFonts w:eastAsia="Times New Roman" w:cs="Times New Roman"/>
          <w:b/>
          <w:szCs w:val="28"/>
          <w:lang w:val="uk-UA" w:eastAsia="ru-RU"/>
        </w:rPr>
        <w:t>«</w:t>
      </w:r>
      <w:r w:rsidRPr="0038462D">
        <w:rPr>
          <w:rFonts w:eastAsia="Times New Roman" w:cs="Times New Roman"/>
          <w:b/>
          <w:szCs w:val="28"/>
          <w:lang w:eastAsia="ru-RU"/>
        </w:rPr>
        <w:t>Д</w:t>
      </w:r>
      <w:r w:rsidRPr="0038462D">
        <w:rPr>
          <w:rFonts w:eastAsia="Times New Roman" w:cs="Times New Roman"/>
          <w:b/>
          <w:szCs w:val="28"/>
          <w:lang w:val="uk-UA" w:eastAsia="ru-RU"/>
        </w:rPr>
        <w:t xml:space="preserve">етальний план частини території </w:t>
      </w:r>
      <w:r w:rsidR="00FD2F8B">
        <w:rPr>
          <w:rFonts w:eastAsia="Times New Roman" w:cs="Times New Roman"/>
          <w:b/>
          <w:szCs w:val="28"/>
          <w:lang w:val="uk-UA" w:eastAsia="ru-RU"/>
        </w:rPr>
        <w:t xml:space="preserve">в адміністративних </w:t>
      </w:r>
    </w:p>
    <w:p w:rsidR="00FD2F8B" w:rsidRDefault="00FD2F8B" w:rsidP="006C47C3">
      <w:pPr>
        <w:tabs>
          <w:tab w:val="left" w:pos="720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межах Великосеверинівської сільської ради </w:t>
      </w:r>
    </w:p>
    <w:p w:rsidR="006200B6" w:rsidRDefault="00FD2F8B" w:rsidP="006C47C3">
      <w:pPr>
        <w:tabs>
          <w:tab w:val="left" w:pos="720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(за межами населеного пункту)</w:t>
      </w:r>
      <w:r w:rsidR="005A70D2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6C47C3" w:rsidRPr="0038462D">
        <w:rPr>
          <w:rFonts w:eastAsia="Times New Roman" w:cs="Times New Roman"/>
          <w:b/>
          <w:szCs w:val="28"/>
          <w:lang w:val="uk-UA" w:eastAsia="ru-RU"/>
        </w:rPr>
        <w:t>Кропивницького району</w:t>
      </w:r>
    </w:p>
    <w:p w:rsidR="006C47C3" w:rsidRPr="0038462D" w:rsidRDefault="006C47C3" w:rsidP="006C47C3">
      <w:pPr>
        <w:tabs>
          <w:tab w:val="left" w:pos="720"/>
        </w:tabs>
        <w:spacing w:after="0"/>
        <w:rPr>
          <w:rFonts w:eastAsia="Times New Roman" w:cs="Times New Roman"/>
          <w:b/>
          <w:szCs w:val="28"/>
          <w:lang w:val="uk-UA" w:eastAsia="ru-RU"/>
        </w:rPr>
      </w:pPr>
      <w:r w:rsidRPr="0038462D">
        <w:rPr>
          <w:rFonts w:eastAsia="Times New Roman" w:cs="Times New Roman"/>
          <w:b/>
          <w:szCs w:val="28"/>
          <w:lang w:val="uk-UA" w:eastAsia="ru-RU"/>
        </w:rPr>
        <w:t>Кіровоградської області»</w:t>
      </w:r>
    </w:p>
    <w:p w:rsidR="006C47C3" w:rsidRPr="0038462D" w:rsidRDefault="006C47C3" w:rsidP="006C47C3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</w:pPr>
    </w:p>
    <w:p w:rsidR="006C47C3" w:rsidRPr="0038462D" w:rsidRDefault="006C47C3" w:rsidP="000468EF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val="uk-UA" w:eastAsia="ru-RU"/>
        </w:rPr>
      </w:pPr>
      <w:r w:rsidRPr="0038462D">
        <w:rPr>
          <w:rFonts w:eastAsia="Times New Roman" w:cs="Times New Roman"/>
          <w:szCs w:val="28"/>
          <w:lang w:val="uk-UA" w:eastAsia="ru-RU"/>
        </w:rPr>
        <w:tab/>
        <w:t>Відповідно до ст.26 Закону України «Про місцеве самоврядування в Україні», Закону України «Про стратегічну екологічну оцінку», ст. 1</w:t>
      </w:r>
      <w:r>
        <w:rPr>
          <w:rFonts w:eastAsia="Times New Roman" w:cs="Times New Roman"/>
          <w:szCs w:val="28"/>
          <w:lang w:val="uk-UA" w:eastAsia="ru-RU"/>
        </w:rPr>
        <w:t>9</w:t>
      </w:r>
      <w:r w:rsidRPr="0038462D">
        <w:rPr>
          <w:rFonts w:eastAsia="Times New Roman" w:cs="Times New Roman"/>
          <w:szCs w:val="28"/>
          <w:lang w:val="uk-UA" w:eastAsia="ru-RU"/>
        </w:rPr>
        <w:t xml:space="preserve"> Закону України «Про регулювання містобудівної діяльності», </w:t>
      </w:r>
      <w:r w:rsidR="00DF5231">
        <w:rPr>
          <w:rFonts w:eastAsia="Times New Roman" w:cs="Times New Roman"/>
          <w:szCs w:val="28"/>
          <w:lang w:val="uk-UA" w:eastAsia="ru-RU"/>
        </w:rPr>
        <w:t>Постанови Кабінету Міністрів України від 01.09.2021 року № 926 «Про затвердження Порядку розроблення, оновлення, внесення змін та затвердження містобудівної документації», Постанови Кабінету Міністрів України від 02.05.2023 року № 430 «Про затвердження Порядку ведення Єдиного реєстру стратегічної екологічної оцінки»,</w:t>
      </w:r>
      <w:r w:rsidR="00AE2BF5">
        <w:rPr>
          <w:rFonts w:eastAsia="Times New Roman" w:cs="Times New Roman"/>
          <w:szCs w:val="28"/>
          <w:lang w:val="uk-UA" w:eastAsia="ru-RU"/>
        </w:rPr>
        <w:t xml:space="preserve"> Постанови Кабінету Міністрів України від 16.12.2020 року № 1272 «Про затвердження порядку здійснення моніторингу наслідків виконання документа державного планування для довкілля, у тому числі для здоров’я населення»</w:t>
      </w:r>
      <w:r w:rsidR="004A78EF">
        <w:rPr>
          <w:rFonts w:eastAsia="Times New Roman" w:cs="Times New Roman"/>
          <w:szCs w:val="28"/>
          <w:lang w:val="uk-UA" w:eastAsia="ru-RU"/>
        </w:rPr>
        <w:t xml:space="preserve">, </w:t>
      </w:r>
      <w:r w:rsidRPr="0038462D">
        <w:rPr>
          <w:rFonts w:eastAsia="Times New Roman" w:cs="Times New Roman"/>
          <w:szCs w:val="28"/>
          <w:lang w:val="uk-UA" w:eastAsia="ru-RU"/>
        </w:rPr>
        <w:t>Постанови Кабінету Міністрів України від 25.05.2011 року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Наказом Мінрегіонбуду України від 16.11.2011 року № 290 «Про затвердження Порядку розроблення містобудівної документації», розглянувши містобудівну документацію «</w:t>
      </w:r>
      <w:r w:rsidR="00FD2F8B" w:rsidRPr="00FD2F8B">
        <w:rPr>
          <w:rFonts w:eastAsia="Times New Roman" w:cs="Times New Roman"/>
          <w:szCs w:val="28"/>
          <w:lang w:val="uk-UA" w:eastAsia="ru-RU"/>
        </w:rPr>
        <w:t>Детальний план частини території в адміністративних межах Великосеверинівської сільської ради (за межами населеного пункту) Кропивницького району</w:t>
      </w:r>
      <w:r w:rsidR="005A70D2">
        <w:rPr>
          <w:rFonts w:eastAsia="Times New Roman" w:cs="Times New Roman"/>
          <w:szCs w:val="28"/>
          <w:lang w:val="uk-UA" w:eastAsia="ru-RU"/>
        </w:rPr>
        <w:t xml:space="preserve"> </w:t>
      </w:r>
      <w:r w:rsidR="00FD2F8B" w:rsidRPr="00FD2F8B">
        <w:rPr>
          <w:rFonts w:eastAsia="Times New Roman" w:cs="Times New Roman"/>
          <w:szCs w:val="28"/>
          <w:lang w:val="uk-UA" w:eastAsia="ru-RU"/>
        </w:rPr>
        <w:t>Кіровоградської області</w:t>
      </w:r>
      <w:r w:rsidRPr="0038462D">
        <w:rPr>
          <w:rFonts w:eastAsia="Times New Roman" w:cs="Times New Roman"/>
          <w:szCs w:val="28"/>
          <w:lang w:val="uk-UA" w:eastAsia="ru-RU"/>
        </w:rPr>
        <w:t xml:space="preserve">» приватним підприємством «І-Експерт-Сервіс», </w:t>
      </w:r>
      <w:r w:rsidRPr="000468EF">
        <w:rPr>
          <w:rFonts w:eastAsia="Times New Roman" w:cs="Times New Roman"/>
          <w:szCs w:val="28"/>
          <w:lang w:val="uk-UA" w:eastAsia="ru-RU"/>
        </w:rPr>
        <w:t xml:space="preserve">взявши до уваги </w:t>
      </w:r>
      <w:r w:rsidR="009B597E">
        <w:rPr>
          <w:rFonts w:eastAsia="Times New Roman" w:cs="Times New Roman"/>
          <w:szCs w:val="28"/>
          <w:lang w:val="uk-UA" w:eastAsia="ru-RU"/>
        </w:rPr>
        <w:t xml:space="preserve">Протокол </w:t>
      </w:r>
      <w:r w:rsidR="000468EF" w:rsidRPr="000468EF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uk-UA"/>
        </w:rPr>
        <w:t>громадських</w:t>
      </w:r>
      <w:r w:rsidR="000468EF" w:rsidRPr="00680227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uk-UA"/>
        </w:rPr>
        <w:t xml:space="preserve"> слухань </w:t>
      </w:r>
      <w:r w:rsidR="000468EF" w:rsidRPr="00123691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щодо врахування громадської думки з обговорення </w:t>
      </w:r>
      <w:r w:rsidR="000468EF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Проекту </w:t>
      </w:r>
      <w:r w:rsidR="000468EF" w:rsidRPr="00123691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>містобудівної документації</w:t>
      </w:r>
      <w:r w:rsidR="005A70D2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 xml:space="preserve"> </w:t>
      </w:r>
      <w:r w:rsidR="000468EF" w:rsidRPr="00680227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uk-UA"/>
        </w:rPr>
        <w:t>«</w:t>
      </w:r>
      <w:r w:rsidR="000468EF" w:rsidRPr="00E73F8A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uk-UA"/>
        </w:rPr>
        <w:t>Детальний план частини території в адміністративних межах Великосеверинівської сільської ради (за межами населеного пункту) Кропивницького району Кіровоградської області»</w:t>
      </w:r>
      <w:r w:rsidR="000468EF">
        <w:rPr>
          <w:rFonts w:eastAsia="Times New Roman" w:cs="Times New Roman"/>
          <w:szCs w:val="28"/>
          <w:bdr w:val="none" w:sz="0" w:space="0" w:color="auto" w:frame="1"/>
          <w:lang w:val="uk-UA" w:eastAsia="uk-UA"/>
        </w:rPr>
        <w:t>, р</w:t>
      </w:r>
      <w:r w:rsidR="000468EF" w:rsidRPr="00123691">
        <w:rPr>
          <w:szCs w:val="28"/>
          <w:shd w:val="clear" w:color="auto" w:fill="FFFFFF"/>
          <w:lang w:val="uk-UA"/>
        </w:rPr>
        <w:t>еєстраційний номер справи в Єдиному реєстрі № 08-08-1480-23 (Єдина екологічна платформа "</w:t>
      </w:r>
      <w:proofErr w:type="spellStart"/>
      <w:r w:rsidR="000468EF" w:rsidRPr="00123691">
        <w:rPr>
          <w:szCs w:val="28"/>
          <w:shd w:val="clear" w:color="auto" w:fill="FFFFFF"/>
          <w:lang w:val="uk-UA"/>
        </w:rPr>
        <w:t>ЕкоСистема</w:t>
      </w:r>
      <w:proofErr w:type="spellEnd"/>
      <w:r w:rsidR="000468EF" w:rsidRPr="00123691">
        <w:rPr>
          <w:szCs w:val="28"/>
          <w:shd w:val="clear" w:color="auto" w:fill="FFFFFF"/>
          <w:lang w:val="uk-UA"/>
        </w:rPr>
        <w:t>")</w:t>
      </w:r>
      <w:r w:rsidR="000468EF">
        <w:rPr>
          <w:szCs w:val="28"/>
          <w:shd w:val="clear" w:color="auto" w:fill="FFFFFF"/>
          <w:lang w:val="uk-UA"/>
        </w:rPr>
        <w:t xml:space="preserve"> від 12.03.2024 року </w:t>
      </w:r>
      <w:r>
        <w:rPr>
          <w:rFonts w:eastAsia="Times New Roman" w:cs="Times New Roman"/>
          <w:szCs w:val="28"/>
          <w:lang w:val="uk-UA" w:eastAsia="ru-RU"/>
        </w:rPr>
        <w:t>та</w:t>
      </w:r>
      <w:r w:rsidRPr="0038462D">
        <w:rPr>
          <w:rFonts w:eastAsia="Times New Roman" w:cs="Times New Roman"/>
          <w:szCs w:val="28"/>
          <w:lang w:val="uk-UA" w:eastAsia="ru-RU"/>
        </w:rPr>
        <w:t xml:space="preserve"> протокол постійної комісії з питань земельних відносин, будівництва, транспорту, зв’язку, екології та охорони навколишнього середовища від </w:t>
      </w:r>
      <w:r w:rsidR="00E01AAC">
        <w:rPr>
          <w:rFonts w:eastAsia="Times New Roman" w:cs="Times New Roman"/>
          <w:szCs w:val="28"/>
          <w:lang w:val="uk-UA" w:eastAsia="ru-RU"/>
        </w:rPr>
        <w:t xml:space="preserve">29 березня </w:t>
      </w:r>
      <w:r w:rsidRPr="0038462D">
        <w:rPr>
          <w:rFonts w:eastAsia="Times New Roman" w:cs="Times New Roman"/>
          <w:szCs w:val="28"/>
          <w:lang w:val="uk-UA" w:eastAsia="ru-RU"/>
        </w:rPr>
        <w:t>202</w:t>
      </w:r>
      <w:r w:rsidR="0064565E">
        <w:rPr>
          <w:rFonts w:eastAsia="Times New Roman" w:cs="Times New Roman"/>
          <w:szCs w:val="28"/>
          <w:lang w:val="uk-UA" w:eastAsia="ru-RU"/>
        </w:rPr>
        <w:t>4</w:t>
      </w:r>
      <w:r w:rsidRPr="0038462D">
        <w:rPr>
          <w:rFonts w:eastAsia="Times New Roman" w:cs="Times New Roman"/>
          <w:szCs w:val="28"/>
          <w:lang w:val="uk-UA" w:eastAsia="ru-RU"/>
        </w:rPr>
        <w:t xml:space="preserve"> року №</w:t>
      </w:r>
      <w:r w:rsidR="00E01AAC">
        <w:rPr>
          <w:rFonts w:eastAsia="Times New Roman" w:cs="Times New Roman"/>
          <w:szCs w:val="28"/>
          <w:lang w:val="uk-UA" w:eastAsia="ru-RU"/>
        </w:rPr>
        <w:t xml:space="preserve"> 20</w:t>
      </w:r>
      <w:r w:rsidRPr="0038462D">
        <w:rPr>
          <w:rFonts w:eastAsia="Times New Roman" w:cs="Times New Roman"/>
          <w:szCs w:val="28"/>
          <w:lang w:val="uk-UA" w:eastAsia="ru-RU"/>
        </w:rPr>
        <w:t>,</w:t>
      </w:r>
    </w:p>
    <w:p w:rsidR="006C47C3" w:rsidRPr="0038462D" w:rsidRDefault="006C47C3" w:rsidP="006C47C3">
      <w:pPr>
        <w:shd w:val="clear" w:color="auto" w:fill="FFFFFF"/>
        <w:spacing w:after="0"/>
        <w:ind w:firstLine="708"/>
        <w:jc w:val="both"/>
        <w:rPr>
          <w:rFonts w:eastAsia="Arial CYR" w:cs="Times New Roman"/>
          <w:color w:val="000000"/>
          <w:kern w:val="3"/>
          <w:szCs w:val="28"/>
          <w:lang w:val="uk-UA" w:eastAsia="ru-RU"/>
        </w:rPr>
      </w:pPr>
    </w:p>
    <w:p w:rsidR="006C47C3" w:rsidRPr="0038462D" w:rsidRDefault="006C47C3" w:rsidP="006C47C3">
      <w:pPr>
        <w:tabs>
          <w:tab w:val="left" w:pos="720"/>
        </w:tabs>
        <w:spacing w:after="0" w:line="276" w:lineRule="auto"/>
        <w:jc w:val="center"/>
        <w:rPr>
          <w:rFonts w:eastAsia="Times New Roman" w:cs="Times New Roman"/>
          <w:b/>
          <w:bCs/>
          <w:color w:val="000000"/>
          <w:szCs w:val="28"/>
          <w:lang w:val="uk-UA" w:eastAsia="uk-UA"/>
        </w:rPr>
      </w:pPr>
      <w:r w:rsidRPr="0038462D">
        <w:rPr>
          <w:rFonts w:eastAsia="Times New Roman" w:cs="Times New Roman"/>
          <w:b/>
          <w:color w:val="000000"/>
          <w:szCs w:val="28"/>
          <w:lang w:val="uk-UA" w:eastAsia="uk-UA"/>
        </w:rPr>
        <w:t>СІЛЬСЬКА РАДА</w:t>
      </w:r>
      <w:r w:rsidRPr="0038462D">
        <w:rPr>
          <w:rFonts w:eastAsia="Times New Roman" w:cs="Times New Roman"/>
          <w:b/>
          <w:bCs/>
          <w:color w:val="000000"/>
          <w:szCs w:val="28"/>
          <w:lang w:val="uk-UA" w:eastAsia="uk-UA"/>
        </w:rPr>
        <w:t xml:space="preserve"> ВИРІШИЛА:</w:t>
      </w:r>
    </w:p>
    <w:p w:rsidR="006C47C3" w:rsidRPr="0038462D" w:rsidRDefault="006C47C3" w:rsidP="006C47C3">
      <w:pPr>
        <w:shd w:val="clear" w:color="auto" w:fill="FFFFFF"/>
        <w:spacing w:after="0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8462D">
        <w:rPr>
          <w:rFonts w:eastAsia="Times New Roman" w:cs="Times New Roman"/>
          <w:color w:val="000000"/>
          <w:szCs w:val="28"/>
          <w:lang w:val="uk-UA" w:eastAsia="ru-RU"/>
        </w:rPr>
        <w:lastRenderedPageBreak/>
        <w:t xml:space="preserve">1. Затвердити містобудівну документацію </w:t>
      </w:r>
      <w:r w:rsidRPr="0038462D">
        <w:rPr>
          <w:rFonts w:eastAsia="Times New Roman" w:cs="Times New Roman"/>
          <w:szCs w:val="28"/>
          <w:lang w:val="uk-UA" w:eastAsia="ru-RU"/>
        </w:rPr>
        <w:t>«</w:t>
      </w:r>
      <w:r w:rsidR="00FD2F8B" w:rsidRPr="00FD2F8B">
        <w:rPr>
          <w:rFonts w:eastAsia="Times New Roman" w:cs="Times New Roman"/>
          <w:szCs w:val="28"/>
          <w:lang w:val="uk-UA" w:eastAsia="ru-RU"/>
        </w:rPr>
        <w:t>Детальний план частини території в адміністративних межах Великосеверинівської сільської ради (за межами населеного пункту) Кропивницького району</w:t>
      </w:r>
      <w:r w:rsidR="005A70D2">
        <w:rPr>
          <w:rFonts w:eastAsia="Times New Roman" w:cs="Times New Roman"/>
          <w:szCs w:val="28"/>
          <w:lang w:val="uk-UA" w:eastAsia="ru-RU"/>
        </w:rPr>
        <w:t xml:space="preserve"> </w:t>
      </w:r>
      <w:r w:rsidR="00FD2F8B" w:rsidRPr="00FD2F8B">
        <w:rPr>
          <w:rFonts w:eastAsia="Times New Roman" w:cs="Times New Roman"/>
          <w:szCs w:val="28"/>
          <w:lang w:val="uk-UA" w:eastAsia="ru-RU"/>
        </w:rPr>
        <w:t>Кіровоградської області</w:t>
      </w:r>
      <w:r w:rsidRPr="0038462D">
        <w:rPr>
          <w:rFonts w:eastAsia="Times New Roman" w:cs="Times New Roman"/>
          <w:szCs w:val="28"/>
          <w:lang w:val="uk-UA" w:eastAsia="ru-RU"/>
        </w:rPr>
        <w:t xml:space="preserve">». </w:t>
      </w:r>
    </w:p>
    <w:p w:rsidR="00FD2F8B" w:rsidRPr="00D02837" w:rsidRDefault="006C47C3" w:rsidP="00D02837">
      <w:pPr>
        <w:shd w:val="clear" w:color="auto" w:fill="FFFFFF"/>
        <w:spacing w:after="0"/>
        <w:ind w:firstLine="708"/>
        <w:jc w:val="both"/>
        <w:rPr>
          <w:rFonts w:ascii="Verdana" w:eastAsia="Times New Roman" w:hAnsi="Verdana" w:cs="Times New Roman"/>
          <w:color w:val="000000"/>
          <w:szCs w:val="28"/>
          <w:lang w:val="uk-UA" w:eastAsia="ru-RU"/>
        </w:rPr>
      </w:pPr>
      <w:r w:rsidRPr="0038462D">
        <w:rPr>
          <w:rFonts w:eastAsia="Times New Roman" w:cs="Times New Roman"/>
          <w:color w:val="000000"/>
          <w:szCs w:val="28"/>
          <w:lang w:val="uk-UA" w:eastAsia="ru-RU"/>
        </w:rPr>
        <w:t>2. З</w:t>
      </w:r>
      <w:r w:rsidR="00980E1C">
        <w:rPr>
          <w:rFonts w:eastAsia="Times New Roman" w:cs="Times New Roman"/>
          <w:color w:val="000000"/>
          <w:szCs w:val="28"/>
          <w:lang w:val="uk-UA" w:eastAsia="ru-RU"/>
        </w:rPr>
        <w:t>о</w:t>
      </w:r>
      <w:r w:rsidRPr="0038462D">
        <w:rPr>
          <w:rFonts w:eastAsia="Times New Roman" w:cs="Times New Roman"/>
          <w:color w:val="000000"/>
          <w:szCs w:val="28"/>
          <w:lang w:val="uk-UA" w:eastAsia="ru-RU"/>
        </w:rPr>
        <w:t>бов</w:t>
      </w:r>
      <w:r w:rsidRPr="00D02837">
        <w:rPr>
          <w:rFonts w:eastAsia="Times New Roman" w:cs="Times New Roman"/>
          <w:color w:val="000000"/>
          <w:szCs w:val="28"/>
          <w:lang w:val="uk-UA" w:eastAsia="ru-RU"/>
        </w:rPr>
        <w:t>’</w:t>
      </w:r>
      <w:r w:rsidRPr="0038462D">
        <w:rPr>
          <w:rFonts w:eastAsia="Times New Roman" w:cs="Times New Roman"/>
          <w:color w:val="000000"/>
          <w:szCs w:val="28"/>
          <w:lang w:val="uk-UA" w:eastAsia="ru-RU"/>
        </w:rPr>
        <w:t>язати виконавчий комітет Вели</w:t>
      </w:r>
      <w:r w:rsidR="00D02837">
        <w:rPr>
          <w:rFonts w:eastAsia="Times New Roman" w:cs="Times New Roman"/>
          <w:color w:val="000000"/>
          <w:szCs w:val="28"/>
          <w:lang w:val="uk-UA" w:eastAsia="ru-RU"/>
        </w:rPr>
        <w:t>косеверинівської сільської ради</w:t>
      </w:r>
      <w:r w:rsidR="00D02837">
        <w:rPr>
          <w:rFonts w:ascii="Verdana" w:eastAsia="Times New Roman" w:hAnsi="Verdana" w:cs="Times New Roman"/>
          <w:color w:val="000000"/>
          <w:szCs w:val="28"/>
          <w:lang w:val="uk-UA" w:eastAsia="ru-RU"/>
        </w:rPr>
        <w:t xml:space="preserve"> </w:t>
      </w:r>
      <w:r w:rsidR="00FD2F8B" w:rsidRPr="00FD2F8B">
        <w:rPr>
          <w:rFonts w:eastAsia="Times New Roman" w:cs="Times New Roman"/>
          <w:color w:val="000000"/>
          <w:szCs w:val="28"/>
          <w:lang w:val="uk-UA" w:eastAsia="ru-RU"/>
        </w:rPr>
        <w:t xml:space="preserve">протягом п’яти робочих днів з дня затвердження </w:t>
      </w:r>
      <w:r w:rsidR="00FD2F8B" w:rsidRPr="0038462D">
        <w:rPr>
          <w:rFonts w:eastAsia="Times New Roman" w:cs="Times New Roman"/>
          <w:color w:val="000000"/>
          <w:szCs w:val="28"/>
          <w:lang w:val="uk-UA" w:eastAsia="ru-RU"/>
        </w:rPr>
        <w:t>містобудівн</w:t>
      </w:r>
      <w:r w:rsidR="00FD2F8B">
        <w:rPr>
          <w:rFonts w:eastAsia="Times New Roman" w:cs="Times New Roman"/>
          <w:color w:val="000000"/>
          <w:szCs w:val="28"/>
          <w:lang w:val="uk-UA" w:eastAsia="ru-RU"/>
        </w:rPr>
        <w:t>ої</w:t>
      </w:r>
      <w:r w:rsidR="00FD2F8B" w:rsidRPr="0038462D">
        <w:rPr>
          <w:rFonts w:eastAsia="Times New Roman" w:cs="Times New Roman"/>
          <w:color w:val="000000"/>
          <w:szCs w:val="28"/>
          <w:lang w:val="uk-UA" w:eastAsia="ru-RU"/>
        </w:rPr>
        <w:t xml:space="preserve"> документаці</w:t>
      </w:r>
      <w:r w:rsidR="00FD2F8B">
        <w:rPr>
          <w:rFonts w:eastAsia="Times New Roman" w:cs="Times New Roman"/>
          <w:color w:val="000000"/>
          <w:szCs w:val="28"/>
          <w:lang w:val="uk-UA" w:eastAsia="ru-RU"/>
        </w:rPr>
        <w:t>ї</w:t>
      </w:r>
      <w:r w:rsidR="005A70D2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="00FD2F8B" w:rsidRPr="00FD2F8B">
        <w:rPr>
          <w:rFonts w:eastAsia="Times New Roman" w:cs="Times New Roman"/>
          <w:color w:val="000000"/>
          <w:szCs w:val="28"/>
          <w:lang w:val="uk-UA" w:eastAsia="ru-RU"/>
        </w:rPr>
        <w:t>розмі</w:t>
      </w:r>
      <w:r w:rsidR="006166A2">
        <w:rPr>
          <w:rFonts w:eastAsia="Times New Roman" w:cs="Times New Roman"/>
          <w:color w:val="000000"/>
          <w:szCs w:val="28"/>
          <w:lang w:val="uk-UA" w:eastAsia="ru-RU"/>
        </w:rPr>
        <w:t xml:space="preserve">стити </w:t>
      </w:r>
      <w:r w:rsidR="00FD2F8B" w:rsidRPr="00FD2F8B">
        <w:rPr>
          <w:rFonts w:eastAsia="Times New Roman" w:cs="Times New Roman"/>
          <w:color w:val="000000"/>
          <w:szCs w:val="28"/>
          <w:lang w:val="uk-UA" w:eastAsia="ru-RU"/>
        </w:rPr>
        <w:t xml:space="preserve">на своєму офіційному веб-сайті та </w:t>
      </w:r>
      <w:r w:rsidR="006166A2" w:rsidRPr="00FD2F8B">
        <w:rPr>
          <w:rFonts w:eastAsia="Times New Roman" w:cs="Times New Roman"/>
          <w:color w:val="000000"/>
          <w:szCs w:val="28"/>
          <w:lang w:val="uk-UA" w:eastAsia="ru-RU"/>
        </w:rPr>
        <w:t>вв</w:t>
      </w:r>
      <w:r w:rsidR="006166A2">
        <w:rPr>
          <w:rFonts w:eastAsia="Times New Roman" w:cs="Times New Roman"/>
          <w:color w:val="000000"/>
          <w:szCs w:val="28"/>
          <w:lang w:val="uk-UA" w:eastAsia="ru-RU"/>
        </w:rPr>
        <w:t xml:space="preserve">ести </w:t>
      </w:r>
      <w:r w:rsidR="00FD2F8B" w:rsidRPr="00FD2F8B">
        <w:rPr>
          <w:rFonts w:eastAsia="Times New Roman" w:cs="Times New Roman"/>
          <w:color w:val="000000"/>
          <w:szCs w:val="28"/>
          <w:lang w:val="uk-UA" w:eastAsia="ru-RU"/>
        </w:rPr>
        <w:t xml:space="preserve">до Єдиного реєстру стратегічної екологічної оцінки затверджений документ державного планування (крім інформації, яка відповідно до закону становить державну таємницю або належить до інформації з обмеженим доступом), рішення про його затвердження, </w:t>
      </w:r>
      <w:r w:rsidR="00FD2F8B" w:rsidRPr="00D7119C">
        <w:rPr>
          <w:rFonts w:eastAsia="Times New Roman" w:cs="Times New Roman"/>
          <w:szCs w:val="28"/>
          <w:lang w:val="uk-UA" w:eastAsia="ru-RU"/>
        </w:rPr>
        <w:t>заходи</w:t>
      </w:r>
      <w:r w:rsidR="006166A2" w:rsidRPr="00D7119C">
        <w:rPr>
          <w:rFonts w:eastAsia="Times New Roman" w:cs="Times New Roman"/>
          <w:szCs w:val="28"/>
          <w:lang w:val="uk-UA" w:eastAsia="ru-RU"/>
        </w:rPr>
        <w:t xml:space="preserve"> які </w:t>
      </w:r>
      <w:r w:rsidR="00FD2F8B" w:rsidRPr="00D7119C">
        <w:rPr>
          <w:rFonts w:eastAsia="Times New Roman" w:cs="Times New Roman"/>
          <w:szCs w:val="28"/>
          <w:lang w:val="uk-UA" w:eastAsia="ru-RU"/>
        </w:rPr>
        <w:t>передбачені для здійснення моніторингу наслідків виконання документа державного планування</w:t>
      </w:r>
      <w:r w:rsidR="00535DC5" w:rsidRPr="00D7119C">
        <w:rPr>
          <w:rFonts w:eastAsia="Times New Roman" w:cs="Times New Roman"/>
          <w:szCs w:val="28"/>
          <w:lang w:val="uk-UA" w:eastAsia="ru-RU"/>
        </w:rPr>
        <w:t xml:space="preserve"> до даного рішення </w:t>
      </w:r>
      <w:r w:rsidR="00F3715C" w:rsidRPr="00D7119C">
        <w:rPr>
          <w:rFonts w:eastAsia="Times New Roman" w:cs="Times New Roman"/>
          <w:szCs w:val="28"/>
          <w:lang w:val="uk-UA" w:eastAsia="ru-RU"/>
        </w:rPr>
        <w:t>згідно Додатку 1</w:t>
      </w:r>
      <w:r w:rsidR="00FD2F8B" w:rsidRPr="00D7119C">
        <w:rPr>
          <w:rFonts w:eastAsia="Times New Roman" w:cs="Times New Roman"/>
          <w:szCs w:val="28"/>
          <w:lang w:val="uk-UA" w:eastAsia="ru-RU"/>
        </w:rPr>
        <w:t>, і</w:t>
      </w:r>
      <w:r w:rsidR="00FD2F8B" w:rsidRPr="00FD2F8B">
        <w:rPr>
          <w:rFonts w:eastAsia="Times New Roman" w:cs="Times New Roman"/>
          <w:color w:val="000000"/>
          <w:szCs w:val="28"/>
          <w:lang w:val="uk-UA" w:eastAsia="ru-RU"/>
        </w:rPr>
        <w:t xml:space="preserve"> письмово повідом</w:t>
      </w:r>
      <w:r w:rsidR="006166A2">
        <w:rPr>
          <w:rFonts w:eastAsia="Times New Roman" w:cs="Times New Roman"/>
          <w:color w:val="000000"/>
          <w:szCs w:val="28"/>
          <w:lang w:val="uk-UA" w:eastAsia="ru-RU"/>
        </w:rPr>
        <w:t>ити</w:t>
      </w:r>
      <w:r w:rsidR="00A63E2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="00FD2F8B" w:rsidRPr="003764DF">
        <w:rPr>
          <w:rFonts w:eastAsia="Times New Roman" w:cs="Times New Roman"/>
          <w:szCs w:val="28"/>
          <w:lang w:val="uk-UA" w:eastAsia="ru-RU"/>
        </w:rPr>
        <w:t xml:space="preserve">про це </w:t>
      </w:r>
      <w:proofErr w:type="spellStart"/>
      <w:r w:rsidR="003764DF" w:rsidRPr="003764DF">
        <w:rPr>
          <w:shd w:val="clear" w:color="auto" w:fill="FFFFFF"/>
          <w:lang w:val="uk-UA"/>
        </w:rPr>
        <w:t>Міндовкілля</w:t>
      </w:r>
      <w:proofErr w:type="spellEnd"/>
      <w:r w:rsidR="00535DC5" w:rsidRPr="003764DF">
        <w:rPr>
          <w:rFonts w:eastAsia="Times New Roman" w:cs="Times New Roman"/>
          <w:szCs w:val="28"/>
          <w:lang w:val="uk-UA" w:eastAsia="ru-RU"/>
        </w:rPr>
        <w:t xml:space="preserve">, що </w:t>
      </w:r>
      <w:r w:rsidR="00535DC5" w:rsidRPr="00535DC5">
        <w:rPr>
          <w:rFonts w:eastAsia="Times New Roman" w:cs="Times New Roman"/>
          <w:color w:val="000000"/>
          <w:szCs w:val="28"/>
          <w:lang w:val="uk-UA" w:eastAsia="ru-RU"/>
        </w:rPr>
        <w:t>реалізує державну політику у сфері охорони навколишнього природного середовища, щодо стратегічної екологічної оцінки</w:t>
      </w:r>
      <w:r w:rsidR="00D02837">
        <w:rPr>
          <w:rFonts w:eastAsia="Times New Roman" w:cs="Times New Roman"/>
          <w:color w:val="000000"/>
          <w:szCs w:val="28"/>
          <w:lang w:val="uk-UA" w:eastAsia="ru-RU"/>
        </w:rPr>
        <w:t>.</w:t>
      </w:r>
    </w:p>
    <w:p w:rsidR="0064565E" w:rsidRDefault="0064565E" w:rsidP="00980E1C">
      <w:pPr>
        <w:spacing w:after="0"/>
        <w:ind w:firstLine="708"/>
        <w:jc w:val="both"/>
        <w:rPr>
          <w:rFonts w:eastAsiaTheme="minorEastAsia"/>
          <w:color w:val="000000"/>
          <w:kern w:val="3"/>
          <w:szCs w:val="28"/>
          <w:lang w:val="uk-UA" w:eastAsia="ru-RU"/>
        </w:rPr>
      </w:pPr>
    </w:p>
    <w:p w:rsidR="006C47C3" w:rsidRPr="0038462D" w:rsidRDefault="006C47C3" w:rsidP="00980E1C">
      <w:pPr>
        <w:widowControl w:val="0"/>
        <w:suppressAutoHyphens/>
        <w:autoSpaceDN w:val="0"/>
        <w:spacing w:after="200"/>
        <w:ind w:firstLine="567"/>
        <w:jc w:val="both"/>
        <w:textAlignment w:val="baseline"/>
        <w:rPr>
          <w:rFonts w:eastAsia="Times New Roman" w:cs="Times New Roman"/>
          <w:color w:val="000000"/>
          <w:szCs w:val="28"/>
          <w:lang w:val="uk-UA" w:eastAsia="ru-RU"/>
        </w:rPr>
      </w:pPr>
      <w:r w:rsidRPr="0038462D">
        <w:rPr>
          <w:rFonts w:eastAsia="Times New Roman" w:cs="Times New Roman"/>
          <w:color w:val="000000"/>
          <w:szCs w:val="28"/>
          <w:lang w:val="uk-UA" w:eastAsia="ru-RU"/>
        </w:rPr>
        <w:t>3. Контроль за виконанням даного рішення покласти  на постійну комісію з питань земельних відносин, будівництва, транспорту, зв’язку, екології та охорони навколишнього середовища.</w:t>
      </w:r>
    </w:p>
    <w:p w:rsidR="006C47C3" w:rsidRPr="0038462D" w:rsidRDefault="006C47C3" w:rsidP="006C47C3">
      <w:pPr>
        <w:shd w:val="clear" w:color="auto" w:fill="FFFFFF"/>
        <w:autoSpaceDE w:val="0"/>
        <w:spacing w:after="0"/>
        <w:ind w:firstLine="567"/>
        <w:jc w:val="both"/>
        <w:rPr>
          <w:rFonts w:ascii="Calibri" w:eastAsia="Times New Roman" w:hAnsi="Calibri" w:cs="Times New Roman"/>
          <w:b/>
          <w:bCs/>
          <w:szCs w:val="28"/>
          <w:lang w:val="uk-UA" w:eastAsia="uk-UA"/>
        </w:rPr>
      </w:pPr>
    </w:p>
    <w:p w:rsidR="006C47C3" w:rsidRPr="0038462D" w:rsidRDefault="006C47C3" w:rsidP="006C47C3">
      <w:pPr>
        <w:shd w:val="clear" w:color="auto" w:fill="FFFFFF"/>
        <w:spacing w:before="100" w:beforeAutospacing="1" w:after="100" w:afterAutospacing="1"/>
        <w:jc w:val="both"/>
        <w:rPr>
          <w:rFonts w:eastAsia="Times New Roman" w:cs="Times New Roman"/>
          <w:b/>
          <w:bCs/>
          <w:szCs w:val="28"/>
          <w:lang w:val="uk-UA" w:eastAsia="ru-RU"/>
        </w:rPr>
      </w:pPr>
      <w:r w:rsidRPr="0038462D">
        <w:rPr>
          <w:rFonts w:eastAsia="Times New Roman" w:cs="Times New Roman"/>
          <w:b/>
          <w:bCs/>
          <w:szCs w:val="28"/>
          <w:lang w:val="uk-UA" w:eastAsia="ru-RU"/>
        </w:rPr>
        <w:t>Сільський голова</w:t>
      </w:r>
      <w:r w:rsidRPr="0038462D">
        <w:rPr>
          <w:rFonts w:eastAsia="Times New Roman" w:cs="Times New Roman"/>
          <w:b/>
          <w:bCs/>
          <w:szCs w:val="28"/>
          <w:lang w:val="uk-UA" w:eastAsia="ru-RU"/>
        </w:rPr>
        <w:tab/>
      </w:r>
      <w:r w:rsidRPr="0038462D">
        <w:rPr>
          <w:rFonts w:eastAsia="Times New Roman" w:cs="Times New Roman"/>
          <w:b/>
          <w:bCs/>
          <w:szCs w:val="28"/>
          <w:lang w:val="uk-UA" w:eastAsia="ru-RU"/>
        </w:rPr>
        <w:tab/>
      </w:r>
      <w:r w:rsidR="00F16A7A">
        <w:rPr>
          <w:rFonts w:eastAsia="Times New Roman" w:cs="Times New Roman"/>
          <w:b/>
          <w:bCs/>
          <w:szCs w:val="28"/>
          <w:lang w:val="uk-UA" w:eastAsia="ru-RU"/>
        </w:rPr>
        <w:tab/>
      </w:r>
      <w:r w:rsidR="005200D3">
        <w:rPr>
          <w:rFonts w:eastAsia="Times New Roman" w:cs="Times New Roman"/>
          <w:b/>
          <w:bCs/>
          <w:szCs w:val="28"/>
          <w:lang w:val="uk-UA" w:eastAsia="ru-RU"/>
        </w:rPr>
        <w:t xml:space="preserve">         </w:t>
      </w:r>
      <w:r>
        <w:rPr>
          <w:rFonts w:eastAsia="Times New Roman" w:cs="Times New Roman"/>
          <w:b/>
          <w:bCs/>
          <w:szCs w:val="28"/>
          <w:lang w:val="uk-UA" w:eastAsia="ru-RU"/>
        </w:rPr>
        <w:tab/>
      </w:r>
      <w:r w:rsidRPr="0038462D">
        <w:rPr>
          <w:rFonts w:eastAsia="Times New Roman" w:cs="Times New Roman"/>
          <w:b/>
          <w:bCs/>
          <w:szCs w:val="28"/>
          <w:lang w:val="uk-UA" w:eastAsia="ru-RU"/>
        </w:rPr>
        <w:t>Сергій ЛЕВЧЕНКО</w:t>
      </w:r>
    </w:p>
    <w:p w:rsidR="006C47C3" w:rsidRPr="0038462D" w:rsidRDefault="006C47C3" w:rsidP="006C47C3">
      <w:pPr>
        <w:spacing w:after="200" w:line="276" w:lineRule="auto"/>
        <w:rPr>
          <w:rFonts w:ascii="Calibri" w:eastAsia="Times New Roman" w:hAnsi="Calibri" w:cs="Times New Roman"/>
          <w:sz w:val="22"/>
          <w:lang w:val="uk-UA" w:eastAsia="uk-UA"/>
        </w:rPr>
      </w:pPr>
    </w:p>
    <w:p w:rsidR="00487F56" w:rsidRPr="00745A8E" w:rsidRDefault="00487F56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Default="005A596F">
      <w:pPr>
        <w:rPr>
          <w:lang w:val="uk-UA"/>
        </w:rPr>
      </w:pPr>
    </w:p>
    <w:p w:rsidR="00D02837" w:rsidRDefault="00D02837">
      <w:pPr>
        <w:rPr>
          <w:lang w:val="uk-UA"/>
        </w:rPr>
      </w:pPr>
    </w:p>
    <w:p w:rsidR="00D02837" w:rsidRDefault="00D02837">
      <w:pPr>
        <w:rPr>
          <w:lang w:val="uk-UA"/>
        </w:rPr>
      </w:pPr>
    </w:p>
    <w:p w:rsidR="00D02837" w:rsidRPr="00D02837" w:rsidRDefault="00D02837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Pr="00745A8E" w:rsidRDefault="005A596F">
      <w:pPr>
        <w:rPr>
          <w:lang w:val="uk-UA"/>
        </w:rPr>
      </w:pPr>
    </w:p>
    <w:p w:rsidR="005A596F" w:rsidRDefault="005A596F" w:rsidP="00A63E2D">
      <w:pPr>
        <w:ind w:left="5103"/>
        <w:rPr>
          <w:rFonts w:eastAsia="Times New Roman" w:cs="Times New Roman"/>
          <w:szCs w:val="28"/>
          <w:lang w:val="uk-UA" w:eastAsia="ru-RU"/>
        </w:rPr>
      </w:pPr>
      <w:bookmarkStart w:id="0" w:name="_GoBack"/>
      <w:r w:rsidRPr="000A2ACE">
        <w:rPr>
          <w:rFonts w:eastAsia="Times New Roman" w:cs="Times New Roman"/>
          <w:szCs w:val="28"/>
          <w:lang w:val="uk-UA" w:eastAsia="ru-RU"/>
        </w:rPr>
        <w:lastRenderedPageBreak/>
        <w:t>Додат</w:t>
      </w:r>
      <w:r w:rsidR="000A2ACE" w:rsidRPr="000A2ACE">
        <w:rPr>
          <w:rFonts w:eastAsia="Times New Roman" w:cs="Times New Roman"/>
          <w:szCs w:val="28"/>
          <w:lang w:val="uk-UA" w:eastAsia="ru-RU"/>
        </w:rPr>
        <w:t>о</w:t>
      </w:r>
      <w:r w:rsidRPr="000A2ACE">
        <w:rPr>
          <w:rFonts w:eastAsia="Times New Roman" w:cs="Times New Roman"/>
          <w:szCs w:val="28"/>
          <w:lang w:val="uk-UA" w:eastAsia="ru-RU"/>
        </w:rPr>
        <w:t>к 1 до рішення Великосеверинівської сільської ради від</w:t>
      </w:r>
      <w:r w:rsidR="00A63E2D">
        <w:rPr>
          <w:rFonts w:eastAsia="Times New Roman" w:cs="Times New Roman"/>
          <w:szCs w:val="28"/>
          <w:lang w:val="uk-UA" w:eastAsia="ru-RU"/>
        </w:rPr>
        <w:t xml:space="preserve"> 18 квітня </w:t>
      </w:r>
      <w:r w:rsidRPr="000A2ACE">
        <w:rPr>
          <w:rFonts w:eastAsia="Times New Roman" w:cs="Times New Roman"/>
          <w:szCs w:val="28"/>
          <w:lang w:val="uk-UA" w:eastAsia="ru-RU"/>
        </w:rPr>
        <w:t xml:space="preserve">2024 року № </w:t>
      </w:r>
      <w:r w:rsidR="00A63E2D">
        <w:rPr>
          <w:rFonts w:eastAsia="Times New Roman" w:cs="Times New Roman"/>
          <w:szCs w:val="28"/>
          <w:lang w:val="uk-UA" w:eastAsia="ru-RU"/>
        </w:rPr>
        <w:t>1535</w:t>
      </w:r>
      <w:r w:rsidRPr="000A2ACE">
        <w:rPr>
          <w:rFonts w:eastAsia="Times New Roman" w:cs="Times New Roman"/>
          <w:szCs w:val="28"/>
          <w:lang w:val="uk-UA" w:eastAsia="ru-RU"/>
        </w:rPr>
        <w:t xml:space="preserve"> </w:t>
      </w:r>
    </w:p>
    <w:p w:rsidR="00AC50B5" w:rsidRPr="00745A8E" w:rsidRDefault="00AC50B5" w:rsidP="005A596F">
      <w:pPr>
        <w:ind w:left="5670"/>
        <w:rPr>
          <w:lang w:val="uk-UA"/>
        </w:rPr>
      </w:pPr>
    </w:p>
    <w:p w:rsidR="00AC50B5" w:rsidRPr="007B695F" w:rsidRDefault="00AC50B5" w:rsidP="00AC50B5">
      <w:pPr>
        <w:pStyle w:val="a4"/>
        <w:ind w:left="502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B695F">
        <w:rPr>
          <w:rFonts w:ascii="Times New Roman" w:hAnsi="Times New Roman"/>
          <w:b/>
          <w:sz w:val="32"/>
          <w:szCs w:val="32"/>
          <w:lang w:val="uk-UA"/>
        </w:rPr>
        <w:t>Заходи, передбачені для здійснення моніторингу наслідків виконання документа державного планування для довкілля, у тому числі для здоров’я населення</w:t>
      </w:r>
    </w:p>
    <w:p w:rsidR="00AC50B5" w:rsidRDefault="00AC50B5" w:rsidP="00607751">
      <w:pPr>
        <w:jc w:val="both"/>
        <w:rPr>
          <w:b/>
          <w:bCs/>
          <w:szCs w:val="28"/>
          <w:lang w:val="uk-UA"/>
        </w:rPr>
      </w:pPr>
    </w:p>
    <w:p w:rsidR="003764DF" w:rsidRDefault="003523D0" w:rsidP="003764DF">
      <w:pPr>
        <w:spacing w:after="0"/>
        <w:ind w:firstLine="502"/>
        <w:jc w:val="both"/>
        <w:rPr>
          <w:szCs w:val="28"/>
          <w:lang w:val="uk-UA"/>
        </w:rPr>
      </w:pPr>
      <w:r w:rsidRPr="000A2ACE">
        <w:rPr>
          <w:szCs w:val="28"/>
          <w:lang w:val="uk-UA"/>
        </w:rPr>
        <w:t>Моніторинг наслідків виконання документа державного планування для довкілля, у тому числі для здоров’я населення</w:t>
      </w:r>
      <w:r>
        <w:rPr>
          <w:szCs w:val="28"/>
          <w:lang w:val="uk-UA"/>
        </w:rPr>
        <w:t xml:space="preserve"> та визначення заходів </w:t>
      </w:r>
      <w:r w:rsidRPr="000A2ACE">
        <w:rPr>
          <w:szCs w:val="28"/>
          <w:lang w:val="uk-UA"/>
        </w:rPr>
        <w:t xml:space="preserve">із запобігання, зменшення та </w:t>
      </w:r>
      <w:r>
        <w:rPr>
          <w:szCs w:val="28"/>
          <w:lang w:val="uk-UA"/>
        </w:rPr>
        <w:t xml:space="preserve"> пом’якшення </w:t>
      </w:r>
      <w:r w:rsidRPr="000A2ACE">
        <w:rPr>
          <w:szCs w:val="28"/>
          <w:lang w:val="uk-UA"/>
        </w:rPr>
        <w:t xml:space="preserve"> негативних наслідків</w:t>
      </w:r>
      <w:r>
        <w:rPr>
          <w:szCs w:val="28"/>
          <w:lang w:val="uk-UA"/>
        </w:rPr>
        <w:t xml:space="preserve"> виконання </w:t>
      </w:r>
      <w:r w:rsidRPr="000A2ACE">
        <w:rPr>
          <w:szCs w:val="28"/>
          <w:lang w:val="uk-UA"/>
        </w:rPr>
        <w:t xml:space="preserve"> документа державного планування здійснюються відповідно до Постанови Кабінету Міністрів України від 16 грудня 2020 р</w:t>
      </w:r>
      <w:r>
        <w:rPr>
          <w:szCs w:val="28"/>
          <w:lang w:val="uk-UA"/>
        </w:rPr>
        <w:t xml:space="preserve">оку </w:t>
      </w:r>
      <w:r w:rsidRPr="000A2ACE">
        <w:rPr>
          <w:szCs w:val="28"/>
          <w:lang w:val="uk-UA"/>
        </w:rPr>
        <w:t>№ 1272 «Про затвердження Порядку здійснення моніторингу наслідків виконання документа державного планування для довкілля, у тому числі для здоров’я населення»</w:t>
      </w:r>
      <w:r>
        <w:rPr>
          <w:szCs w:val="28"/>
          <w:lang w:val="uk-UA"/>
        </w:rPr>
        <w:t>.</w:t>
      </w:r>
    </w:p>
    <w:p w:rsidR="00A13B9D" w:rsidRDefault="00A13B9D" w:rsidP="003764DF">
      <w:pPr>
        <w:spacing w:after="0"/>
        <w:ind w:firstLine="502"/>
        <w:jc w:val="both"/>
        <w:rPr>
          <w:szCs w:val="28"/>
          <w:lang w:val="uk-UA"/>
        </w:rPr>
      </w:pPr>
    </w:p>
    <w:p w:rsidR="00526B39" w:rsidRPr="000A2ACE" w:rsidRDefault="00526B39" w:rsidP="003764DF">
      <w:pPr>
        <w:spacing w:after="0"/>
        <w:ind w:firstLine="502"/>
        <w:jc w:val="both"/>
        <w:rPr>
          <w:szCs w:val="28"/>
          <w:lang w:val="uk-UA"/>
        </w:rPr>
      </w:pPr>
      <w:r w:rsidRPr="000A2ACE">
        <w:rPr>
          <w:szCs w:val="28"/>
          <w:lang w:val="uk-UA"/>
        </w:rPr>
        <w:t xml:space="preserve">Для здійснення моніторингу замовник документа державного планування розробляє заходи з урахуванням результатів громадського обговорення, консультацій з органами виконавчої влади у процесі проведення стратегічної екологічної оцінки та транскордонних консультацій (у разі їх проведення). Здійснення таких заходів забезпечує можливість: </w:t>
      </w:r>
    </w:p>
    <w:p w:rsidR="00526B39" w:rsidRDefault="00526B39" w:rsidP="003764DF">
      <w:pPr>
        <w:spacing w:after="0"/>
        <w:ind w:firstLine="502"/>
        <w:jc w:val="both"/>
        <w:rPr>
          <w:szCs w:val="28"/>
          <w:lang w:val="uk-UA"/>
        </w:rPr>
      </w:pPr>
      <w:r w:rsidRPr="000A2ACE">
        <w:rPr>
          <w:szCs w:val="28"/>
          <w:lang w:val="uk-UA"/>
        </w:rPr>
        <w:t xml:space="preserve">- виявлення наслідків виконання документа державного планування для довкілля, у тому числі для здоров’я населення, а саме вторинних, кумулятивних, синергічних, коротко-, середньо- та довгострокових (на один, три-п’ять, 10-15 років, 50-100 років відповідно), постійних і тимчасових, позитивних і негативних наслідків; - запобігання, зменшення та компенсації негативних наслідків, зумовлених виконанням документа державного планування; </w:t>
      </w:r>
    </w:p>
    <w:p w:rsidR="0029213B" w:rsidRPr="000A2ACE" w:rsidRDefault="0029213B" w:rsidP="003764DF">
      <w:pPr>
        <w:spacing w:after="0"/>
        <w:ind w:firstLine="50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запобігання, зменшення та компенсації негативних наслідків, зумовлених виконанням документа державного планування; </w:t>
      </w:r>
    </w:p>
    <w:p w:rsidR="00526B39" w:rsidRPr="000A2ACE" w:rsidRDefault="00526B39" w:rsidP="003764DF">
      <w:pPr>
        <w:spacing w:after="0"/>
        <w:ind w:firstLine="502"/>
        <w:jc w:val="both"/>
        <w:rPr>
          <w:szCs w:val="28"/>
          <w:lang w:val="uk-UA"/>
        </w:rPr>
      </w:pPr>
      <w:r w:rsidRPr="000A2ACE">
        <w:rPr>
          <w:szCs w:val="28"/>
          <w:lang w:val="uk-UA"/>
        </w:rPr>
        <w:t xml:space="preserve">- виявлення не передбачених звітом про стратегічну екологічну оцінку негативних наслідків виконання документа державного планування для довкілля, у тому числі для здоров’я населення. </w:t>
      </w:r>
    </w:p>
    <w:p w:rsidR="00A13B9D" w:rsidRDefault="00A13B9D" w:rsidP="003764DF">
      <w:pPr>
        <w:spacing w:after="0"/>
        <w:ind w:firstLine="502"/>
        <w:jc w:val="both"/>
        <w:rPr>
          <w:szCs w:val="28"/>
          <w:lang w:val="uk-UA"/>
        </w:rPr>
      </w:pPr>
    </w:p>
    <w:p w:rsidR="00526B39" w:rsidRDefault="00526B39" w:rsidP="003764DF">
      <w:pPr>
        <w:spacing w:after="0"/>
        <w:ind w:firstLine="502"/>
        <w:jc w:val="both"/>
        <w:rPr>
          <w:szCs w:val="28"/>
          <w:lang w:val="uk-UA"/>
        </w:rPr>
      </w:pPr>
      <w:r w:rsidRPr="000A2ACE">
        <w:rPr>
          <w:szCs w:val="28"/>
          <w:lang w:val="uk-UA"/>
        </w:rPr>
        <w:t xml:space="preserve">Замовником документа державного планування </w:t>
      </w:r>
      <w:r>
        <w:rPr>
          <w:szCs w:val="28"/>
          <w:lang w:val="uk-UA"/>
        </w:rPr>
        <w:t xml:space="preserve">є Великосеверинівська сільська рада, </w:t>
      </w:r>
      <w:r w:rsidRPr="000A2ACE">
        <w:rPr>
          <w:szCs w:val="28"/>
          <w:lang w:val="uk-UA"/>
        </w:rPr>
        <w:t>як</w:t>
      </w:r>
      <w:r>
        <w:rPr>
          <w:szCs w:val="28"/>
          <w:lang w:val="uk-UA"/>
        </w:rPr>
        <w:t>а</w:t>
      </w:r>
      <w:r w:rsidRPr="000A2ACE">
        <w:rPr>
          <w:szCs w:val="28"/>
          <w:lang w:val="uk-UA"/>
        </w:rPr>
        <w:t xml:space="preserve"> є відповідальним за розроблення документів державного планування</w:t>
      </w:r>
      <w:r>
        <w:rPr>
          <w:szCs w:val="28"/>
          <w:lang w:val="uk-UA"/>
        </w:rPr>
        <w:t xml:space="preserve"> – </w:t>
      </w:r>
      <w:r w:rsidRPr="000A2ACE">
        <w:rPr>
          <w:szCs w:val="28"/>
          <w:lang w:val="uk-UA"/>
        </w:rPr>
        <w:t>Детальн</w:t>
      </w:r>
      <w:r>
        <w:rPr>
          <w:szCs w:val="28"/>
          <w:lang w:val="uk-UA"/>
        </w:rPr>
        <w:t>ого</w:t>
      </w:r>
      <w:r w:rsidRPr="000A2ACE">
        <w:rPr>
          <w:szCs w:val="28"/>
          <w:lang w:val="uk-UA"/>
        </w:rPr>
        <w:t xml:space="preserve"> план</w:t>
      </w:r>
      <w:r>
        <w:rPr>
          <w:szCs w:val="28"/>
          <w:lang w:val="uk-UA"/>
        </w:rPr>
        <w:t>у</w:t>
      </w:r>
      <w:r w:rsidRPr="000A2ACE">
        <w:rPr>
          <w:szCs w:val="28"/>
          <w:lang w:val="uk-UA"/>
        </w:rPr>
        <w:t xml:space="preserve"> частини території в адміністративних межах Великосеверинівської сільської ради (за межами населеного пункту) Кропивницького району Кіровоградської області</w:t>
      </w:r>
      <w:r w:rsidR="005A70D2">
        <w:rPr>
          <w:szCs w:val="28"/>
          <w:lang w:val="uk-UA"/>
        </w:rPr>
        <w:t xml:space="preserve"> </w:t>
      </w:r>
      <w:r w:rsidRPr="000A2ACE">
        <w:rPr>
          <w:szCs w:val="28"/>
          <w:lang w:val="uk-UA"/>
        </w:rPr>
        <w:t>та здійснює загальне керівництво і контроль за їх виконанням</w:t>
      </w:r>
      <w:r>
        <w:rPr>
          <w:szCs w:val="28"/>
          <w:lang w:val="uk-UA"/>
        </w:rPr>
        <w:t>.</w:t>
      </w:r>
    </w:p>
    <w:p w:rsidR="00A13B9D" w:rsidRDefault="00A13B9D" w:rsidP="003764DF">
      <w:pPr>
        <w:spacing w:after="0"/>
        <w:ind w:firstLine="502"/>
        <w:jc w:val="both"/>
        <w:rPr>
          <w:szCs w:val="28"/>
          <w:lang w:val="uk-UA"/>
        </w:rPr>
      </w:pPr>
    </w:p>
    <w:p w:rsidR="0029213B" w:rsidRDefault="0029213B" w:rsidP="003764DF">
      <w:pPr>
        <w:spacing w:after="0"/>
        <w:ind w:firstLine="50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Варто зазначити, що проект детального планування території визначає планувальну організацію, просторову композицію і параметри забудови та ландшафтної організації території проектування, тому для  забезпечення систематичності та об’єктивності спостережень сільська рада визначає групу </w:t>
      </w:r>
      <w:r>
        <w:rPr>
          <w:szCs w:val="28"/>
          <w:lang w:val="uk-UA"/>
        </w:rPr>
        <w:lastRenderedPageBreak/>
        <w:t>експертів, що відповідальні за здійснення моніторингу (моніторингові групи), їх склад та порядок роботи.</w:t>
      </w:r>
    </w:p>
    <w:p w:rsidR="003523D0" w:rsidRPr="007B695F" w:rsidRDefault="007B695F" w:rsidP="003523D0">
      <w:pPr>
        <w:ind w:firstLine="502"/>
        <w:jc w:val="both"/>
        <w:rPr>
          <w:b/>
          <w:bCs/>
          <w:i/>
          <w:iCs/>
          <w:szCs w:val="28"/>
          <w:lang w:val="uk-UA"/>
        </w:rPr>
      </w:pPr>
      <w:r w:rsidRPr="007B695F">
        <w:rPr>
          <w:b/>
          <w:bCs/>
          <w:i/>
          <w:iCs/>
          <w:szCs w:val="28"/>
          <w:lang w:val="uk-UA"/>
        </w:rPr>
        <w:t>1. Зміст заходів, передбачених для здійснення моніторингу:</w:t>
      </w:r>
    </w:p>
    <w:p w:rsidR="007B695F" w:rsidRDefault="007B695F" w:rsidP="003764DF">
      <w:pPr>
        <w:spacing w:after="0"/>
        <w:ind w:firstLine="502"/>
        <w:jc w:val="both"/>
        <w:rPr>
          <w:szCs w:val="28"/>
          <w:lang w:val="uk-UA"/>
        </w:rPr>
      </w:pPr>
      <w:r w:rsidRPr="007B695F">
        <w:rPr>
          <w:szCs w:val="28"/>
          <w:lang w:val="uk-UA"/>
        </w:rPr>
        <w:t>- моні</w:t>
      </w:r>
      <w:r>
        <w:rPr>
          <w:szCs w:val="28"/>
          <w:lang w:val="uk-UA"/>
        </w:rPr>
        <w:t>торингова група контролює відповідність використання земельної ділянки за функціональним призначенням, визначеним містобудівною документацією;</w:t>
      </w:r>
    </w:p>
    <w:p w:rsidR="007B695F" w:rsidRDefault="007B695F" w:rsidP="003764DF">
      <w:pPr>
        <w:spacing w:after="0"/>
        <w:ind w:firstLine="502"/>
        <w:jc w:val="both"/>
        <w:rPr>
          <w:lang w:val="uk-UA"/>
        </w:rPr>
      </w:pPr>
      <w:r w:rsidRPr="007B695F">
        <w:rPr>
          <w:lang w:val="uk-UA"/>
        </w:rPr>
        <w:t xml:space="preserve">- моніторингова група перевіряє відповідність розміщень об’єктів до </w:t>
      </w:r>
      <w:proofErr w:type="spellStart"/>
      <w:r w:rsidRPr="007B695F">
        <w:rPr>
          <w:lang w:val="uk-UA"/>
        </w:rPr>
        <w:t>проєктних</w:t>
      </w:r>
      <w:proofErr w:type="spellEnd"/>
      <w:r w:rsidRPr="007B695F">
        <w:rPr>
          <w:lang w:val="uk-UA"/>
        </w:rPr>
        <w:t xml:space="preserve"> рішень, що спрямовані на забезпечення санітарно-гігієнічних вимог в планувальній організації території. </w:t>
      </w:r>
      <w:r w:rsidRPr="007B695F">
        <w:rPr>
          <w:i/>
          <w:iCs/>
          <w:lang w:val="uk-UA"/>
        </w:rPr>
        <w:t>Строк виконання:</w:t>
      </w:r>
      <w:r w:rsidRPr="007B695F">
        <w:rPr>
          <w:lang w:val="uk-UA"/>
        </w:rPr>
        <w:t xml:space="preserve"> один раз на рік протягом строку дії документа державного планування та через рік після закінчення такого строку; </w:t>
      </w:r>
    </w:p>
    <w:p w:rsidR="007B695F" w:rsidRDefault="007B695F" w:rsidP="003764DF">
      <w:pPr>
        <w:spacing w:after="0"/>
        <w:ind w:firstLine="502"/>
        <w:jc w:val="both"/>
        <w:rPr>
          <w:lang w:val="uk-UA"/>
        </w:rPr>
      </w:pPr>
      <w:r w:rsidRPr="007B695F">
        <w:rPr>
          <w:lang w:val="uk-UA"/>
        </w:rPr>
        <w:t xml:space="preserve">- моніторингова група </w:t>
      </w:r>
      <w:proofErr w:type="spellStart"/>
      <w:r w:rsidRPr="007B695F">
        <w:rPr>
          <w:lang w:val="uk-UA"/>
        </w:rPr>
        <w:t>співставляє</w:t>
      </w:r>
      <w:proofErr w:type="spellEnd"/>
      <w:r w:rsidRPr="007B695F">
        <w:rPr>
          <w:lang w:val="uk-UA"/>
        </w:rPr>
        <w:t xml:space="preserve"> цільові значення параметрів моніторингу до фактичних значень під час здійснення моніторингу. </w:t>
      </w:r>
      <w:r w:rsidRPr="007B695F">
        <w:rPr>
          <w:i/>
          <w:iCs/>
          <w:lang w:val="uk-UA"/>
        </w:rPr>
        <w:t>Строк виконання:</w:t>
      </w:r>
      <w:r w:rsidRPr="007B695F">
        <w:rPr>
          <w:lang w:val="uk-UA"/>
        </w:rPr>
        <w:t xml:space="preserve"> один раз на рік протягом строку дії документа державного планування та через рік після закінчення такого строку;</w:t>
      </w:r>
    </w:p>
    <w:p w:rsidR="007B695F" w:rsidRPr="000879F5" w:rsidRDefault="007B695F" w:rsidP="003764DF">
      <w:pPr>
        <w:spacing w:after="0"/>
        <w:ind w:firstLine="502"/>
        <w:jc w:val="both"/>
        <w:rPr>
          <w:lang w:val="uk-UA"/>
        </w:rPr>
      </w:pPr>
      <w:r w:rsidRPr="007B695F">
        <w:rPr>
          <w:lang w:val="uk-UA"/>
        </w:rPr>
        <w:t xml:space="preserve">- замовник результати моніторингу </w:t>
      </w:r>
      <w:r w:rsidRPr="000879F5">
        <w:rPr>
          <w:lang w:val="uk-UA"/>
        </w:rPr>
        <w:t xml:space="preserve">оприлюднює на власному офіційному веб-сайті один раз на рік протягом строку дії документа державного планування та через рік після закінчення такого строку. </w:t>
      </w:r>
    </w:p>
    <w:p w:rsidR="003764DF" w:rsidRPr="000879F5" w:rsidRDefault="003764DF" w:rsidP="003523D0">
      <w:pPr>
        <w:ind w:firstLine="502"/>
        <w:jc w:val="both"/>
        <w:rPr>
          <w:b/>
          <w:bCs/>
          <w:i/>
          <w:iCs/>
          <w:lang w:val="uk-UA"/>
        </w:rPr>
      </w:pPr>
    </w:p>
    <w:p w:rsidR="003523D0" w:rsidRPr="000879F5" w:rsidRDefault="007B695F" w:rsidP="003523D0">
      <w:pPr>
        <w:ind w:firstLine="502"/>
        <w:jc w:val="both"/>
        <w:rPr>
          <w:szCs w:val="28"/>
          <w:lang w:val="uk-UA"/>
        </w:rPr>
      </w:pPr>
      <w:r w:rsidRPr="000879F5">
        <w:rPr>
          <w:b/>
          <w:bCs/>
          <w:i/>
          <w:iCs/>
          <w:lang w:val="uk-UA"/>
        </w:rPr>
        <w:t>2. Кількісні та якісні показники, одиниці їх вимірювання та цільові значення таких показників відповідно до кожного з визначених у звіті про стратегічну екологічну оцінку наслідків виконання документа державного планування для довкілля, у тому числі для здоров’я населення, а також періодичність вимірювання показників, проведення їх аналізу та співставлення із цільовими значеннями</w:t>
      </w:r>
      <w:r w:rsidRPr="000879F5">
        <w:rPr>
          <w:lang w:val="uk-UA"/>
        </w:rPr>
        <w:t xml:space="preserve"> наведено в таблиці 1</w:t>
      </w:r>
      <w:r w:rsidR="00D02837">
        <w:rPr>
          <w:lang w:val="uk-UA"/>
        </w:rPr>
        <w:t>.</w:t>
      </w:r>
    </w:p>
    <w:p w:rsidR="00AC50B5" w:rsidRPr="000879F5" w:rsidRDefault="00AC50B5" w:rsidP="00607751">
      <w:pPr>
        <w:jc w:val="both"/>
        <w:rPr>
          <w:b/>
          <w:bCs/>
          <w:szCs w:val="28"/>
          <w:lang w:val="uk-UA"/>
        </w:rPr>
      </w:pPr>
    </w:p>
    <w:p w:rsidR="007232CD" w:rsidRPr="000879F5" w:rsidRDefault="007232CD" w:rsidP="007232CD">
      <w:pPr>
        <w:ind w:firstLine="851"/>
        <w:jc w:val="both"/>
        <w:rPr>
          <w:szCs w:val="28"/>
          <w:lang w:val="uk-UA"/>
        </w:rPr>
      </w:pPr>
    </w:p>
    <w:p w:rsidR="00607751" w:rsidRPr="000879F5" w:rsidRDefault="00607751" w:rsidP="005A596F">
      <w:pPr>
        <w:ind w:firstLine="708"/>
        <w:jc w:val="both"/>
        <w:rPr>
          <w:szCs w:val="28"/>
          <w:lang w:val="uk-UA"/>
        </w:rPr>
      </w:pPr>
    </w:p>
    <w:p w:rsidR="00607751" w:rsidRPr="000879F5" w:rsidRDefault="00607751" w:rsidP="005A596F">
      <w:pPr>
        <w:ind w:firstLine="708"/>
        <w:jc w:val="both"/>
        <w:rPr>
          <w:szCs w:val="28"/>
          <w:lang w:val="uk-UA"/>
        </w:rPr>
      </w:pPr>
    </w:p>
    <w:p w:rsidR="00607751" w:rsidRPr="000879F5" w:rsidRDefault="00607751" w:rsidP="005A596F">
      <w:pPr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  <w:sectPr w:rsidR="005A596F" w:rsidRPr="000879F5" w:rsidSect="00A13B9D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5A596F" w:rsidRPr="000879F5" w:rsidRDefault="005A596F" w:rsidP="005A596F">
      <w:pPr>
        <w:autoSpaceDE w:val="0"/>
        <w:autoSpaceDN w:val="0"/>
        <w:adjustRightInd w:val="0"/>
        <w:ind w:firstLine="708"/>
        <w:jc w:val="right"/>
        <w:rPr>
          <w:szCs w:val="28"/>
          <w:lang w:val="uk-UA"/>
        </w:rPr>
      </w:pPr>
      <w:r w:rsidRPr="000879F5">
        <w:rPr>
          <w:szCs w:val="28"/>
          <w:lang w:val="uk-UA"/>
        </w:rPr>
        <w:lastRenderedPageBreak/>
        <w:t>Таблиця1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690"/>
        <w:gridCol w:w="2424"/>
        <w:gridCol w:w="3827"/>
        <w:gridCol w:w="2835"/>
        <w:gridCol w:w="2496"/>
        <w:gridCol w:w="3032"/>
      </w:tblGrid>
      <w:tr w:rsidR="00F813ED" w:rsidRPr="000879F5" w:rsidTr="003764DF">
        <w:tc>
          <w:tcPr>
            <w:tcW w:w="690" w:type="dxa"/>
          </w:tcPr>
          <w:p w:rsidR="007B695F" w:rsidRPr="000879F5" w:rsidRDefault="007B695F" w:rsidP="000210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879F5">
              <w:rPr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24" w:type="dxa"/>
          </w:tcPr>
          <w:p w:rsidR="007B695F" w:rsidRPr="000879F5" w:rsidRDefault="007B695F" w:rsidP="000210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879F5">
              <w:rPr>
                <w:b/>
                <w:bCs/>
                <w:sz w:val="24"/>
                <w:szCs w:val="24"/>
                <w:lang w:val="uk-UA"/>
              </w:rPr>
              <w:t>Об’єкт моніторингу</w:t>
            </w:r>
          </w:p>
        </w:tc>
        <w:tc>
          <w:tcPr>
            <w:tcW w:w="3827" w:type="dxa"/>
          </w:tcPr>
          <w:p w:rsidR="007B695F" w:rsidRPr="000879F5" w:rsidRDefault="007B695F" w:rsidP="000210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879F5">
              <w:rPr>
                <w:b/>
                <w:bCs/>
                <w:sz w:val="24"/>
                <w:szCs w:val="24"/>
                <w:lang w:val="uk-UA"/>
              </w:rPr>
              <w:t>Параметр, що підлягає моніторингу</w:t>
            </w:r>
          </w:p>
        </w:tc>
        <w:tc>
          <w:tcPr>
            <w:tcW w:w="2835" w:type="dxa"/>
          </w:tcPr>
          <w:p w:rsidR="007B695F" w:rsidRPr="000879F5" w:rsidRDefault="007B695F" w:rsidP="000210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879F5">
              <w:rPr>
                <w:b/>
                <w:bCs/>
                <w:sz w:val="24"/>
                <w:szCs w:val="24"/>
                <w:lang w:val="uk-UA"/>
              </w:rPr>
              <w:t>Періодичність</w:t>
            </w:r>
          </w:p>
        </w:tc>
        <w:tc>
          <w:tcPr>
            <w:tcW w:w="2496" w:type="dxa"/>
          </w:tcPr>
          <w:p w:rsidR="007B695F" w:rsidRPr="000879F5" w:rsidRDefault="001261AD" w:rsidP="001261A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879F5">
              <w:rPr>
                <w:b/>
                <w:bCs/>
                <w:sz w:val="24"/>
                <w:szCs w:val="24"/>
                <w:lang w:val="uk-UA"/>
              </w:rPr>
              <w:t xml:space="preserve"> Значення параметрів моніторингу на момент затвердження ДДП </w:t>
            </w:r>
          </w:p>
        </w:tc>
        <w:tc>
          <w:tcPr>
            <w:tcW w:w="3032" w:type="dxa"/>
          </w:tcPr>
          <w:p w:rsidR="007B695F" w:rsidRPr="000879F5" w:rsidRDefault="000210F6" w:rsidP="000210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879F5">
              <w:rPr>
                <w:b/>
                <w:bCs/>
                <w:sz w:val="24"/>
                <w:szCs w:val="24"/>
                <w:lang w:val="uk-UA"/>
              </w:rPr>
              <w:t>Суб’єкт моніторингу</w:t>
            </w:r>
          </w:p>
          <w:p w:rsidR="000210F6" w:rsidRPr="000879F5" w:rsidRDefault="000210F6" w:rsidP="000210F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F813ED" w:rsidRPr="000879F5" w:rsidTr="003764DF">
        <w:tc>
          <w:tcPr>
            <w:tcW w:w="690" w:type="dxa"/>
          </w:tcPr>
          <w:p w:rsidR="001261AD" w:rsidRPr="000879F5" w:rsidRDefault="00F813ED" w:rsidP="00622849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1</w:t>
            </w:r>
          </w:p>
        </w:tc>
        <w:tc>
          <w:tcPr>
            <w:tcW w:w="2424" w:type="dxa"/>
          </w:tcPr>
          <w:p w:rsidR="001261AD" w:rsidRPr="000879F5" w:rsidRDefault="001261A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Земельні ресурси</w:t>
            </w:r>
          </w:p>
        </w:tc>
        <w:tc>
          <w:tcPr>
            <w:tcW w:w="3827" w:type="dxa"/>
          </w:tcPr>
          <w:p w:rsidR="001261AD" w:rsidRPr="000879F5" w:rsidRDefault="001261A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Контроль за використанням земельної ділянки за функціональним призначенням, вказаним містобудівною документацією</w:t>
            </w:r>
          </w:p>
        </w:tc>
        <w:tc>
          <w:tcPr>
            <w:tcW w:w="2835" w:type="dxa"/>
          </w:tcPr>
          <w:p w:rsidR="001261AD" w:rsidRPr="000879F5" w:rsidRDefault="001261A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 xml:space="preserve">1 раз на рік протягом будівельних робіт та </w:t>
            </w:r>
            <w:r w:rsidR="00F813ED" w:rsidRPr="000879F5">
              <w:rPr>
                <w:szCs w:val="28"/>
                <w:lang w:val="uk-UA"/>
              </w:rPr>
              <w:t xml:space="preserve">через рік після закінчення </w:t>
            </w:r>
          </w:p>
        </w:tc>
        <w:tc>
          <w:tcPr>
            <w:tcW w:w="2496" w:type="dxa"/>
          </w:tcPr>
          <w:p w:rsidR="001261AD" w:rsidRPr="000879F5" w:rsidRDefault="00622849" w:rsidP="00622849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---</w:t>
            </w:r>
          </w:p>
        </w:tc>
        <w:tc>
          <w:tcPr>
            <w:tcW w:w="3032" w:type="dxa"/>
          </w:tcPr>
          <w:p w:rsidR="001261AD" w:rsidRPr="000879F5" w:rsidRDefault="001261A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Виконавчий комітет Великосеверинівської сільської ради</w:t>
            </w:r>
            <w:r w:rsidR="003764DF" w:rsidRPr="000879F5">
              <w:rPr>
                <w:szCs w:val="28"/>
                <w:lang w:val="uk-UA"/>
              </w:rPr>
              <w:t>/ власник земельної ділянки</w:t>
            </w:r>
          </w:p>
        </w:tc>
      </w:tr>
      <w:tr w:rsidR="00F813ED" w:rsidRPr="000879F5" w:rsidTr="003764DF">
        <w:tc>
          <w:tcPr>
            <w:tcW w:w="690" w:type="dxa"/>
            <w:vMerge w:val="restart"/>
          </w:tcPr>
          <w:p w:rsidR="00F813ED" w:rsidRPr="000879F5" w:rsidRDefault="00F813ED" w:rsidP="00622849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2</w:t>
            </w:r>
          </w:p>
        </w:tc>
        <w:tc>
          <w:tcPr>
            <w:tcW w:w="2424" w:type="dxa"/>
            <w:vMerge w:val="restart"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Тверді побутові відходи</w:t>
            </w:r>
          </w:p>
        </w:tc>
        <w:tc>
          <w:tcPr>
            <w:tcW w:w="3827" w:type="dxa"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Утворення відходів (загальний обсяг, кількість кг/тон/рік)</w:t>
            </w:r>
          </w:p>
        </w:tc>
        <w:tc>
          <w:tcPr>
            <w:tcW w:w="2835" w:type="dxa"/>
            <w:vMerge w:val="restart"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1 раз на рік протягом будівельних робіт та експлуатації об’єкта</w:t>
            </w:r>
          </w:p>
        </w:tc>
        <w:tc>
          <w:tcPr>
            <w:tcW w:w="2496" w:type="dxa"/>
            <w:vMerge w:val="restart"/>
          </w:tcPr>
          <w:p w:rsidR="00F813ED" w:rsidRPr="000879F5" w:rsidRDefault="00622849" w:rsidP="00622849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---</w:t>
            </w:r>
          </w:p>
        </w:tc>
        <w:tc>
          <w:tcPr>
            <w:tcW w:w="3032" w:type="dxa"/>
            <w:vMerge w:val="restart"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Виконавчий комітет Великосеверинівської сільської ради</w:t>
            </w:r>
            <w:r w:rsidR="003764DF" w:rsidRPr="000879F5">
              <w:rPr>
                <w:szCs w:val="28"/>
                <w:lang w:val="uk-UA"/>
              </w:rPr>
              <w:t>/власник земельної ділянки</w:t>
            </w:r>
          </w:p>
        </w:tc>
      </w:tr>
      <w:tr w:rsidR="00F813ED" w:rsidRPr="000879F5" w:rsidTr="003764DF">
        <w:tc>
          <w:tcPr>
            <w:tcW w:w="690" w:type="dxa"/>
            <w:vMerge/>
          </w:tcPr>
          <w:p w:rsidR="00F813ED" w:rsidRPr="000879F5" w:rsidRDefault="00F813ED" w:rsidP="00622849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424" w:type="dxa"/>
            <w:vMerge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Контроль за своєчасною передачею відходів суб’єкту господарювання у сфері управління відходами</w:t>
            </w:r>
          </w:p>
        </w:tc>
        <w:tc>
          <w:tcPr>
            <w:tcW w:w="2835" w:type="dxa"/>
            <w:vMerge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</w:tc>
        <w:tc>
          <w:tcPr>
            <w:tcW w:w="2496" w:type="dxa"/>
            <w:vMerge/>
          </w:tcPr>
          <w:p w:rsidR="00F813ED" w:rsidRPr="000879F5" w:rsidRDefault="00F813ED" w:rsidP="00622849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032" w:type="dxa"/>
            <w:vMerge/>
          </w:tcPr>
          <w:p w:rsidR="00F813ED" w:rsidRPr="000879F5" w:rsidRDefault="00F813ED" w:rsidP="001261AD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</w:p>
        </w:tc>
      </w:tr>
      <w:tr w:rsidR="003764DF" w:rsidRPr="000879F5" w:rsidTr="003764DF">
        <w:tc>
          <w:tcPr>
            <w:tcW w:w="690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3</w:t>
            </w:r>
          </w:p>
        </w:tc>
        <w:tc>
          <w:tcPr>
            <w:tcW w:w="2424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 xml:space="preserve">Водні ресурси </w:t>
            </w:r>
          </w:p>
        </w:tc>
        <w:tc>
          <w:tcPr>
            <w:tcW w:w="3827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 xml:space="preserve">Якість питної води: за фізико-хімічними показниками та за бактеріологічними показниками </w:t>
            </w:r>
          </w:p>
        </w:tc>
        <w:tc>
          <w:tcPr>
            <w:tcW w:w="2835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1 раз на рік</w:t>
            </w:r>
          </w:p>
        </w:tc>
        <w:tc>
          <w:tcPr>
            <w:tcW w:w="2496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---</w:t>
            </w:r>
          </w:p>
        </w:tc>
        <w:tc>
          <w:tcPr>
            <w:tcW w:w="3032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Виконавчий комітет Великосеверинівської сільської ради/власник земельної ділянки</w:t>
            </w:r>
          </w:p>
        </w:tc>
      </w:tr>
      <w:tr w:rsidR="003764DF" w:rsidRPr="000879F5" w:rsidTr="003764DF">
        <w:tc>
          <w:tcPr>
            <w:tcW w:w="690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4</w:t>
            </w:r>
          </w:p>
        </w:tc>
        <w:tc>
          <w:tcPr>
            <w:tcW w:w="2424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Система каналізаційної мережі</w:t>
            </w:r>
          </w:p>
        </w:tc>
        <w:tc>
          <w:tcPr>
            <w:tcW w:w="3827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 xml:space="preserve">Контроль за викидами </w:t>
            </w:r>
          </w:p>
        </w:tc>
        <w:tc>
          <w:tcPr>
            <w:tcW w:w="2835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1 раз на рік</w:t>
            </w:r>
          </w:p>
        </w:tc>
        <w:tc>
          <w:tcPr>
            <w:tcW w:w="2496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---</w:t>
            </w:r>
          </w:p>
        </w:tc>
        <w:tc>
          <w:tcPr>
            <w:tcW w:w="3032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Виконавчий комітет Великосеверинівської сільської ради/власник земельної ділянки</w:t>
            </w:r>
          </w:p>
        </w:tc>
      </w:tr>
      <w:tr w:rsidR="003764DF" w:rsidRPr="000879F5" w:rsidTr="003764DF">
        <w:tc>
          <w:tcPr>
            <w:tcW w:w="690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5</w:t>
            </w:r>
          </w:p>
        </w:tc>
        <w:tc>
          <w:tcPr>
            <w:tcW w:w="2424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Атмосферне повітря</w:t>
            </w:r>
          </w:p>
        </w:tc>
        <w:tc>
          <w:tcPr>
            <w:tcW w:w="3827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Вміст забруднюючих речовин в  повітрі (за основними забруднюючими речовинами)</w:t>
            </w:r>
          </w:p>
        </w:tc>
        <w:tc>
          <w:tcPr>
            <w:tcW w:w="2835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1 раз на рік</w:t>
            </w:r>
          </w:p>
        </w:tc>
        <w:tc>
          <w:tcPr>
            <w:tcW w:w="2496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jc w:val="center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---</w:t>
            </w:r>
          </w:p>
        </w:tc>
        <w:tc>
          <w:tcPr>
            <w:tcW w:w="3032" w:type="dxa"/>
          </w:tcPr>
          <w:p w:rsidR="003764DF" w:rsidRPr="000879F5" w:rsidRDefault="003764DF" w:rsidP="003764DF">
            <w:pPr>
              <w:autoSpaceDE w:val="0"/>
              <w:autoSpaceDN w:val="0"/>
              <w:adjustRightInd w:val="0"/>
              <w:rPr>
                <w:szCs w:val="28"/>
                <w:lang w:val="uk-UA"/>
              </w:rPr>
            </w:pPr>
            <w:r w:rsidRPr="000879F5">
              <w:rPr>
                <w:szCs w:val="28"/>
                <w:lang w:val="uk-UA"/>
              </w:rPr>
              <w:t>Виконавчий комітет Великосеверинівської сільської ради/власник земельної ділянки</w:t>
            </w:r>
          </w:p>
        </w:tc>
      </w:tr>
    </w:tbl>
    <w:p w:rsidR="005A596F" w:rsidRDefault="005A596F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  <w:sectPr w:rsidR="005A596F" w:rsidSect="004C4589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5A596F" w:rsidRPr="00FC28D1" w:rsidRDefault="005A596F" w:rsidP="005A596F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Cs w:val="28"/>
          <w:lang w:val="uk-UA"/>
        </w:rPr>
      </w:pPr>
      <w:r w:rsidRPr="00FC28D1">
        <w:rPr>
          <w:b/>
          <w:bCs/>
          <w:i/>
          <w:iCs/>
          <w:szCs w:val="28"/>
          <w:lang w:val="uk-UA"/>
        </w:rPr>
        <w:lastRenderedPageBreak/>
        <w:t>Методи визначення кожного із показників, які дають змогу швидко та без надлишкових витрат їх вимірювати</w:t>
      </w:r>
      <w:r w:rsidR="00FC28D1">
        <w:rPr>
          <w:b/>
          <w:bCs/>
          <w:i/>
          <w:iCs/>
          <w:szCs w:val="28"/>
          <w:lang w:val="uk-UA"/>
        </w:rPr>
        <w:t>:</w:t>
      </w:r>
    </w:p>
    <w:p w:rsidR="00FC28D1" w:rsidRDefault="00FC28D1" w:rsidP="003764DF">
      <w:pPr>
        <w:autoSpaceDE w:val="0"/>
        <w:autoSpaceDN w:val="0"/>
        <w:adjustRightInd w:val="0"/>
        <w:spacing w:after="0"/>
        <w:ind w:firstLine="708"/>
        <w:jc w:val="both"/>
        <w:rPr>
          <w:lang w:val="uk-UA"/>
        </w:rPr>
      </w:pPr>
      <w:r w:rsidRPr="00FC28D1">
        <w:rPr>
          <w:lang w:val="uk-UA"/>
        </w:rPr>
        <w:t xml:space="preserve">- </w:t>
      </w:r>
      <w:r w:rsidR="0006623C">
        <w:rPr>
          <w:lang w:val="uk-UA"/>
        </w:rPr>
        <w:t xml:space="preserve">для визначення показників утворення </w:t>
      </w:r>
      <w:r w:rsidRPr="00FC28D1">
        <w:rPr>
          <w:lang w:val="uk-UA"/>
        </w:rPr>
        <w:t>відход</w:t>
      </w:r>
      <w:r w:rsidR="0006623C">
        <w:rPr>
          <w:lang w:val="uk-UA"/>
        </w:rPr>
        <w:t>ів</w:t>
      </w:r>
      <w:r w:rsidRPr="00FC28D1">
        <w:rPr>
          <w:lang w:val="uk-UA"/>
        </w:rPr>
        <w:t xml:space="preserve"> (загальний обсяг, охоплення виробничого комплексу послугами із збирання та перевезення побутових відходів) передбачено проводити облік відповідно до Договору про надання послуг з поводження з побутовими відходами. Відповідно п. 1.5. Методичних рекомендацій з організації збирання, перевезення, перероблення та утилізації побутових відходів (Затверджено Наказ Міністерства з питань житлово-комунального господарства України 07.06.2010 № 176) порядок поводження з </w:t>
      </w:r>
      <w:r w:rsidR="00C169A6">
        <w:rPr>
          <w:lang w:val="uk-UA"/>
        </w:rPr>
        <w:t>Т</w:t>
      </w:r>
      <w:r w:rsidRPr="00FC28D1">
        <w:rPr>
          <w:lang w:val="uk-UA"/>
        </w:rPr>
        <w:t xml:space="preserve">ПВ у населеному пункті визначається затвердженими органом місцевого самоврядування Правилами благоустрою, Схемою санітарної очистки та місцевими програмами поводження з </w:t>
      </w:r>
      <w:r w:rsidR="00C169A6">
        <w:rPr>
          <w:lang w:val="uk-UA"/>
        </w:rPr>
        <w:t>Т</w:t>
      </w:r>
      <w:r w:rsidRPr="00FC28D1">
        <w:rPr>
          <w:lang w:val="uk-UA"/>
        </w:rPr>
        <w:t xml:space="preserve">ПВ; </w:t>
      </w:r>
    </w:p>
    <w:p w:rsidR="00392BE5" w:rsidRDefault="0006623C" w:rsidP="003764DF">
      <w:pPr>
        <w:autoSpaceDE w:val="0"/>
        <w:autoSpaceDN w:val="0"/>
        <w:adjustRightInd w:val="0"/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- для моніторингу рівня забруднення атмосферного повітря – Порядок здійснення державного моніторингу в галузі охорони атмосферного повітря (Затверджено постановою Кабінету Міністрів України від 14 серпня 2019 року № </w:t>
      </w:r>
      <w:r w:rsidR="00392BE5">
        <w:rPr>
          <w:lang w:val="uk-UA"/>
        </w:rPr>
        <w:t>827</w:t>
      </w:r>
      <w:r>
        <w:rPr>
          <w:lang w:val="uk-UA"/>
        </w:rPr>
        <w:t>)</w:t>
      </w:r>
      <w:r w:rsidR="00392BE5">
        <w:rPr>
          <w:lang w:val="uk-UA"/>
        </w:rPr>
        <w:t>. Відповідно до п. 7 Порядку, суб’єкти моніторингу атмосферного повітря встановлюють пункти спостережень, ведуть спостереження за рівнем забруднювальних речовин та вмістом складових та/або показників атмосферних опадів, проводять аналіз і прогнозування стану атмосферного повітря та оцінювання його якості з дотриманням законодавства про охорону атмосферного повітря, єдиних методичних вимог у сфері державного моніторингу у галузі охорони атмосферного повітря, а також вимог Закону України «Про метрологію та метрологічну діяльність»;</w:t>
      </w:r>
    </w:p>
    <w:p w:rsidR="0006623C" w:rsidRDefault="00392BE5" w:rsidP="003764DF">
      <w:pPr>
        <w:autoSpaceDE w:val="0"/>
        <w:autoSpaceDN w:val="0"/>
        <w:adjustRightInd w:val="0"/>
        <w:spacing w:after="0"/>
        <w:ind w:firstLine="708"/>
        <w:jc w:val="both"/>
        <w:rPr>
          <w:lang w:val="uk-UA"/>
        </w:rPr>
      </w:pPr>
      <w:r>
        <w:rPr>
          <w:lang w:val="uk-UA"/>
        </w:rPr>
        <w:t>- для визначення якості питної води (</w:t>
      </w:r>
      <w:r>
        <w:rPr>
          <w:szCs w:val="28"/>
          <w:lang w:val="uk-UA"/>
        </w:rPr>
        <w:t>за фізико-хімічними показниками та за бактеріологічними показниками</w:t>
      </w:r>
      <w:r>
        <w:rPr>
          <w:lang w:val="uk-UA"/>
        </w:rPr>
        <w:t xml:space="preserve">) - </w:t>
      </w:r>
      <w:proofErr w:type="spellStart"/>
      <w:r>
        <w:rPr>
          <w:lang w:val="uk-UA"/>
        </w:rPr>
        <w:t>ДСанПІН</w:t>
      </w:r>
      <w:proofErr w:type="spellEnd"/>
      <w:r>
        <w:rPr>
          <w:lang w:val="uk-UA"/>
        </w:rPr>
        <w:t xml:space="preserve"> 2.2.4-171-10 (Затверджено Наказом </w:t>
      </w:r>
      <w:r w:rsidR="00CA3990">
        <w:rPr>
          <w:lang w:val="uk-UA"/>
        </w:rPr>
        <w:t>Міністерства охорони здоров’я України 12.05.2010 №400</w:t>
      </w:r>
      <w:r>
        <w:rPr>
          <w:lang w:val="uk-UA"/>
        </w:rPr>
        <w:t>)</w:t>
      </w:r>
      <w:r w:rsidR="00CA3990">
        <w:rPr>
          <w:lang w:val="uk-UA"/>
        </w:rPr>
        <w:t>;</w:t>
      </w:r>
    </w:p>
    <w:p w:rsidR="005A596F" w:rsidRDefault="00FC28D1" w:rsidP="003764DF">
      <w:pPr>
        <w:autoSpaceDE w:val="0"/>
        <w:autoSpaceDN w:val="0"/>
        <w:adjustRightInd w:val="0"/>
        <w:spacing w:after="0"/>
        <w:ind w:firstLine="708"/>
        <w:jc w:val="both"/>
        <w:rPr>
          <w:lang w:val="uk-UA"/>
        </w:rPr>
      </w:pPr>
      <w:r w:rsidRPr="00FC28D1">
        <w:rPr>
          <w:lang w:val="uk-UA"/>
        </w:rPr>
        <w:t>- рівень забезпечення водопостачанням та каналізацією передбачено визначати обліковим методом.</w:t>
      </w:r>
    </w:p>
    <w:p w:rsidR="003764DF" w:rsidRDefault="003764DF" w:rsidP="005A596F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Cs w:val="28"/>
          <w:lang w:val="uk-UA"/>
        </w:rPr>
      </w:pPr>
    </w:p>
    <w:p w:rsidR="005A596F" w:rsidRPr="00CA3990" w:rsidRDefault="005A596F" w:rsidP="005A596F">
      <w:pPr>
        <w:autoSpaceDE w:val="0"/>
        <w:autoSpaceDN w:val="0"/>
        <w:adjustRightInd w:val="0"/>
        <w:ind w:firstLine="708"/>
        <w:jc w:val="both"/>
        <w:rPr>
          <w:b/>
          <w:bCs/>
          <w:i/>
          <w:iCs/>
          <w:szCs w:val="28"/>
          <w:lang w:val="uk-UA"/>
        </w:rPr>
      </w:pPr>
      <w:r w:rsidRPr="00CA3990">
        <w:rPr>
          <w:b/>
          <w:bCs/>
          <w:i/>
          <w:iCs/>
          <w:szCs w:val="28"/>
          <w:lang w:val="uk-UA"/>
        </w:rPr>
        <w:t>Способи виявлення наявності або відсутності наслідків для довкілля, у тому числі для здоров’я населення, з урахуванням можливості виявлення негативних наслідків виконання документа державного планування, не передбачених звітом про СЕО:</w:t>
      </w:r>
    </w:p>
    <w:p w:rsidR="005A596F" w:rsidRPr="00FC28D1" w:rsidRDefault="005A596F" w:rsidP="003764DF">
      <w:pPr>
        <w:autoSpaceDE w:val="0"/>
        <w:autoSpaceDN w:val="0"/>
        <w:adjustRightInd w:val="0"/>
        <w:spacing w:after="0"/>
        <w:ind w:firstLine="708"/>
        <w:jc w:val="both"/>
        <w:rPr>
          <w:szCs w:val="28"/>
          <w:lang w:val="uk-UA"/>
        </w:rPr>
      </w:pPr>
      <w:r w:rsidRPr="00FC28D1">
        <w:rPr>
          <w:szCs w:val="28"/>
          <w:lang w:val="uk-UA"/>
        </w:rPr>
        <w:t xml:space="preserve"> - моніторинг – як інструмент контролю виконання стратегічних напрямів Д</w:t>
      </w:r>
      <w:r w:rsidR="00C169A6">
        <w:rPr>
          <w:szCs w:val="28"/>
          <w:lang w:val="uk-UA"/>
        </w:rPr>
        <w:t>Д</w:t>
      </w:r>
      <w:r w:rsidRPr="00FC28D1">
        <w:rPr>
          <w:szCs w:val="28"/>
          <w:lang w:val="uk-UA"/>
        </w:rPr>
        <w:t>П;</w:t>
      </w:r>
    </w:p>
    <w:p w:rsidR="005A596F" w:rsidRPr="00FC28D1" w:rsidRDefault="005A596F" w:rsidP="003764DF">
      <w:pPr>
        <w:autoSpaceDE w:val="0"/>
        <w:autoSpaceDN w:val="0"/>
        <w:adjustRightInd w:val="0"/>
        <w:spacing w:after="0"/>
        <w:ind w:firstLine="708"/>
        <w:jc w:val="both"/>
        <w:rPr>
          <w:szCs w:val="28"/>
          <w:lang w:val="uk-UA"/>
        </w:rPr>
      </w:pPr>
      <w:r w:rsidRPr="00FC28D1">
        <w:rPr>
          <w:szCs w:val="28"/>
          <w:lang w:val="uk-UA"/>
        </w:rPr>
        <w:t xml:space="preserve"> - перевірка дотримання екологічних вимог (договір з компанією, що має ліцензію Міністерства екології та природних ресурсів України та надає комплекс послуг в сфері поводження з відходами тощо). </w:t>
      </w:r>
    </w:p>
    <w:p w:rsidR="00A13B9D" w:rsidRDefault="00A13B9D" w:rsidP="003764DF">
      <w:pPr>
        <w:autoSpaceDE w:val="0"/>
        <w:autoSpaceDN w:val="0"/>
        <w:adjustRightInd w:val="0"/>
        <w:spacing w:after="0"/>
        <w:ind w:firstLine="708"/>
        <w:jc w:val="both"/>
        <w:rPr>
          <w:szCs w:val="28"/>
          <w:lang w:val="uk-UA"/>
        </w:rPr>
      </w:pPr>
    </w:p>
    <w:p w:rsidR="005A596F" w:rsidRDefault="005A596F" w:rsidP="003764DF">
      <w:pPr>
        <w:autoSpaceDE w:val="0"/>
        <w:autoSpaceDN w:val="0"/>
        <w:adjustRightInd w:val="0"/>
        <w:spacing w:after="0"/>
        <w:ind w:firstLine="708"/>
        <w:jc w:val="both"/>
        <w:rPr>
          <w:szCs w:val="28"/>
          <w:lang w:val="uk-UA"/>
        </w:rPr>
      </w:pPr>
      <w:r w:rsidRPr="00FC28D1">
        <w:rPr>
          <w:szCs w:val="28"/>
          <w:lang w:val="uk-UA"/>
        </w:rPr>
        <w:t xml:space="preserve">У разі коли під час здійснення моніторингу виявлено не передбачені звітом про </w:t>
      </w:r>
      <w:r w:rsidR="00CA3990">
        <w:rPr>
          <w:szCs w:val="28"/>
          <w:lang w:val="uk-UA"/>
        </w:rPr>
        <w:t>стратегічну екологічну оцінку</w:t>
      </w:r>
      <w:r w:rsidRPr="00FC28D1">
        <w:rPr>
          <w:szCs w:val="28"/>
          <w:lang w:val="uk-UA"/>
        </w:rPr>
        <w:t xml:space="preserve"> негативні наслідки виконання документа державного планування для довкілля, у тому числі для здоров’я населення,</w:t>
      </w:r>
      <w:r w:rsidR="005A70D2">
        <w:rPr>
          <w:szCs w:val="28"/>
          <w:lang w:val="uk-UA"/>
        </w:rPr>
        <w:t xml:space="preserve"> </w:t>
      </w:r>
      <w:r w:rsidRPr="003764DF">
        <w:rPr>
          <w:szCs w:val="28"/>
          <w:lang w:val="uk-UA"/>
        </w:rPr>
        <w:t xml:space="preserve">власник/користувач, замовник вживає заходів для їх усунення, а також подає </w:t>
      </w:r>
      <w:r w:rsidRPr="00FC28D1">
        <w:rPr>
          <w:szCs w:val="28"/>
          <w:lang w:val="uk-UA"/>
        </w:rPr>
        <w:t xml:space="preserve">органу державної влади або органу місцевого самоврядування, який затвердив документ державного планування, пропозиції щодо внесення змін до такого документа з метою усунення негативних наслідків. У такому разі </w:t>
      </w:r>
      <w:r w:rsidRPr="00FC28D1">
        <w:rPr>
          <w:szCs w:val="28"/>
          <w:lang w:val="uk-UA"/>
        </w:rPr>
        <w:lastRenderedPageBreak/>
        <w:t xml:space="preserve">зміни, що вносяться до документа державного планування, підлягають </w:t>
      </w:r>
      <w:r w:rsidR="00CA3990">
        <w:rPr>
          <w:szCs w:val="28"/>
          <w:lang w:val="uk-UA"/>
        </w:rPr>
        <w:t>стратегічній екологічній оцінці</w:t>
      </w:r>
      <w:r w:rsidRPr="00FC28D1">
        <w:rPr>
          <w:szCs w:val="28"/>
          <w:lang w:val="uk-UA"/>
        </w:rPr>
        <w:t>.</w:t>
      </w:r>
    </w:p>
    <w:p w:rsidR="000E1F87" w:rsidRPr="00FC28D1" w:rsidRDefault="000E1F87" w:rsidP="003764DF">
      <w:pPr>
        <w:autoSpaceDE w:val="0"/>
        <w:autoSpaceDN w:val="0"/>
        <w:adjustRightInd w:val="0"/>
        <w:spacing w:after="0"/>
        <w:ind w:firstLine="708"/>
        <w:jc w:val="both"/>
        <w:rPr>
          <w:szCs w:val="28"/>
          <w:lang w:val="uk-UA"/>
        </w:rPr>
      </w:pPr>
    </w:p>
    <w:p w:rsidR="005A596F" w:rsidRPr="00585B4A" w:rsidRDefault="00A63E2D" w:rsidP="005A596F">
      <w:pPr>
        <w:autoSpaceDE w:val="0"/>
        <w:autoSpaceDN w:val="0"/>
        <w:adjustRightInd w:val="0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_______________________________________________________</w:t>
      </w:r>
      <w:bookmarkEnd w:id="0"/>
    </w:p>
    <w:sectPr w:rsidR="005A596F" w:rsidRPr="00585B4A" w:rsidSect="004C458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ozuka Gothic Pro M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1449E"/>
    <w:multiLevelType w:val="hybridMultilevel"/>
    <w:tmpl w:val="5C165066"/>
    <w:lvl w:ilvl="0" w:tplc="3B940950">
      <w:start w:val="2"/>
      <w:numFmt w:val="bullet"/>
      <w:lvlText w:val="-"/>
      <w:lvlJc w:val="left"/>
      <w:pPr>
        <w:ind w:left="1571" w:hanging="360"/>
      </w:pPr>
      <w:rPr>
        <w:rFonts w:ascii="Times New Roman CYR" w:eastAsia="Times New Roman" w:hAnsi="Times New Roman CYR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6E1339"/>
    <w:multiLevelType w:val="hybridMultilevel"/>
    <w:tmpl w:val="15FA66A2"/>
    <w:lvl w:ilvl="0" w:tplc="C75E0F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696661"/>
    <w:multiLevelType w:val="multilevel"/>
    <w:tmpl w:val="EE1AFD6A"/>
    <w:lvl w:ilvl="0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2378" w:hanging="720"/>
      </w:pPr>
    </w:lvl>
    <w:lvl w:ilvl="3">
      <w:start w:val="1"/>
      <w:numFmt w:val="decimal"/>
      <w:isLgl/>
      <w:lvlText w:val="%1.%2.%3.%4."/>
      <w:lvlJc w:val="left"/>
      <w:pPr>
        <w:ind w:left="3496" w:hanging="1080"/>
      </w:pPr>
    </w:lvl>
    <w:lvl w:ilvl="4">
      <w:start w:val="1"/>
      <w:numFmt w:val="decimal"/>
      <w:isLgl/>
      <w:lvlText w:val="%1.%2.%3.%4.%5."/>
      <w:lvlJc w:val="left"/>
      <w:pPr>
        <w:ind w:left="4254" w:hanging="1080"/>
      </w:pPr>
    </w:lvl>
    <w:lvl w:ilvl="5">
      <w:start w:val="1"/>
      <w:numFmt w:val="decimal"/>
      <w:isLgl/>
      <w:lvlText w:val="%1.%2.%3.%4.%5.%6."/>
      <w:lvlJc w:val="left"/>
      <w:pPr>
        <w:ind w:left="5372" w:hanging="1440"/>
      </w:pPr>
    </w:lvl>
    <w:lvl w:ilvl="6">
      <w:start w:val="1"/>
      <w:numFmt w:val="decimal"/>
      <w:isLgl/>
      <w:lvlText w:val="%1.%2.%3.%4.%5.%6.%7."/>
      <w:lvlJc w:val="left"/>
      <w:pPr>
        <w:ind w:left="6490" w:hanging="1800"/>
      </w:pPr>
    </w:lvl>
    <w:lvl w:ilvl="7">
      <w:start w:val="1"/>
      <w:numFmt w:val="decimal"/>
      <w:isLgl/>
      <w:lvlText w:val="%1.%2.%3.%4.%5.%6.%7.%8."/>
      <w:lvlJc w:val="left"/>
      <w:pPr>
        <w:ind w:left="7248" w:hanging="1800"/>
      </w:pPr>
    </w:lvl>
    <w:lvl w:ilvl="8">
      <w:start w:val="1"/>
      <w:numFmt w:val="decimal"/>
      <w:isLgl/>
      <w:lvlText w:val="%1.%2.%3.%4.%5.%6.%7.%8.%9."/>
      <w:lvlJc w:val="left"/>
      <w:pPr>
        <w:ind w:left="8366" w:hanging="2160"/>
      </w:pPr>
    </w:lvl>
  </w:abstractNum>
  <w:abstractNum w:abstractNumId="3">
    <w:nsid w:val="4BA11B33"/>
    <w:multiLevelType w:val="multilevel"/>
    <w:tmpl w:val="B282AE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2378" w:hanging="720"/>
      </w:pPr>
    </w:lvl>
    <w:lvl w:ilvl="3">
      <w:start w:val="1"/>
      <w:numFmt w:val="decimal"/>
      <w:isLgl/>
      <w:lvlText w:val="%1.%2.%3.%4."/>
      <w:lvlJc w:val="left"/>
      <w:pPr>
        <w:ind w:left="3496" w:hanging="1080"/>
      </w:pPr>
    </w:lvl>
    <w:lvl w:ilvl="4">
      <w:start w:val="1"/>
      <w:numFmt w:val="decimal"/>
      <w:isLgl/>
      <w:lvlText w:val="%1.%2.%3.%4.%5."/>
      <w:lvlJc w:val="left"/>
      <w:pPr>
        <w:ind w:left="4254" w:hanging="1080"/>
      </w:pPr>
    </w:lvl>
    <w:lvl w:ilvl="5">
      <w:start w:val="1"/>
      <w:numFmt w:val="decimal"/>
      <w:isLgl/>
      <w:lvlText w:val="%1.%2.%3.%4.%5.%6."/>
      <w:lvlJc w:val="left"/>
      <w:pPr>
        <w:ind w:left="5372" w:hanging="1440"/>
      </w:pPr>
    </w:lvl>
    <w:lvl w:ilvl="6">
      <w:start w:val="1"/>
      <w:numFmt w:val="decimal"/>
      <w:isLgl/>
      <w:lvlText w:val="%1.%2.%3.%4.%5.%6.%7."/>
      <w:lvlJc w:val="left"/>
      <w:pPr>
        <w:ind w:left="6490" w:hanging="1800"/>
      </w:pPr>
    </w:lvl>
    <w:lvl w:ilvl="7">
      <w:start w:val="1"/>
      <w:numFmt w:val="decimal"/>
      <w:isLgl/>
      <w:lvlText w:val="%1.%2.%3.%4.%5.%6.%7.%8."/>
      <w:lvlJc w:val="left"/>
      <w:pPr>
        <w:ind w:left="7248" w:hanging="1800"/>
      </w:pPr>
    </w:lvl>
    <w:lvl w:ilvl="8">
      <w:start w:val="1"/>
      <w:numFmt w:val="decimal"/>
      <w:isLgl/>
      <w:lvlText w:val="%1.%2.%3.%4.%5.%6.%7.%8.%9."/>
      <w:lvlJc w:val="left"/>
      <w:pPr>
        <w:ind w:left="8366" w:hanging="2160"/>
      </w:pPr>
    </w:lvl>
  </w:abstractNum>
  <w:abstractNum w:abstractNumId="4">
    <w:nsid w:val="54DA7ABA"/>
    <w:multiLevelType w:val="hybridMultilevel"/>
    <w:tmpl w:val="FE1AD5D8"/>
    <w:lvl w:ilvl="0" w:tplc="3B940950">
      <w:start w:val="2"/>
      <w:numFmt w:val="bullet"/>
      <w:lvlText w:val="-"/>
      <w:lvlJc w:val="left"/>
      <w:pPr>
        <w:ind w:left="1571" w:hanging="360"/>
      </w:pPr>
      <w:rPr>
        <w:rFonts w:ascii="Times New Roman CYR" w:eastAsia="Times New Roman" w:hAnsi="Times New Roman CYR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C3"/>
    <w:rsid w:val="000210F6"/>
    <w:rsid w:val="000468EF"/>
    <w:rsid w:val="0006623C"/>
    <w:rsid w:val="000830BE"/>
    <w:rsid w:val="000879F5"/>
    <w:rsid w:val="000A2ACE"/>
    <w:rsid w:val="000E1F87"/>
    <w:rsid w:val="001261AD"/>
    <w:rsid w:val="0029213B"/>
    <w:rsid w:val="003246A1"/>
    <w:rsid w:val="003523D0"/>
    <w:rsid w:val="003764DF"/>
    <w:rsid w:val="00392BE5"/>
    <w:rsid w:val="003D488B"/>
    <w:rsid w:val="0045011E"/>
    <w:rsid w:val="00475078"/>
    <w:rsid w:val="00487F56"/>
    <w:rsid w:val="004A6CF2"/>
    <w:rsid w:val="004A78EF"/>
    <w:rsid w:val="004C4589"/>
    <w:rsid w:val="005200D3"/>
    <w:rsid w:val="00526B39"/>
    <w:rsid w:val="00535DC5"/>
    <w:rsid w:val="005A596F"/>
    <w:rsid w:val="005A70D2"/>
    <w:rsid w:val="00607751"/>
    <w:rsid w:val="006166A2"/>
    <w:rsid w:val="006200B6"/>
    <w:rsid w:val="00622849"/>
    <w:rsid w:val="0064565E"/>
    <w:rsid w:val="006C47C3"/>
    <w:rsid w:val="007232CD"/>
    <w:rsid w:val="00745A8E"/>
    <w:rsid w:val="007B695F"/>
    <w:rsid w:val="00885E08"/>
    <w:rsid w:val="00980E1C"/>
    <w:rsid w:val="00981583"/>
    <w:rsid w:val="009B597E"/>
    <w:rsid w:val="00A13B9D"/>
    <w:rsid w:val="00A46A41"/>
    <w:rsid w:val="00A63E2D"/>
    <w:rsid w:val="00AC50B5"/>
    <w:rsid w:val="00AE2BF5"/>
    <w:rsid w:val="00C169A6"/>
    <w:rsid w:val="00CA3990"/>
    <w:rsid w:val="00CC5BDA"/>
    <w:rsid w:val="00D02837"/>
    <w:rsid w:val="00D7119C"/>
    <w:rsid w:val="00DF5231"/>
    <w:rsid w:val="00E01AAC"/>
    <w:rsid w:val="00EE796C"/>
    <w:rsid w:val="00EF18FC"/>
    <w:rsid w:val="00F16A7A"/>
    <w:rsid w:val="00F3715C"/>
    <w:rsid w:val="00F65B6A"/>
    <w:rsid w:val="00F813ED"/>
    <w:rsid w:val="00FC28D1"/>
    <w:rsid w:val="00FD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C3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5A5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0B5"/>
    <w:pPr>
      <w:spacing w:after="0"/>
      <w:ind w:left="720"/>
      <w:contextualSpacing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879F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9F5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7C3"/>
    <w:pPr>
      <w:spacing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3">
    <w:name w:val="Table Grid"/>
    <w:basedOn w:val="a1"/>
    <w:uiPriority w:val="39"/>
    <w:rsid w:val="005A5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0B5"/>
    <w:pPr>
      <w:spacing w:after="0"/>
      <w:ind w:left="720"/>
      <w:contextualSpacing/>
    </w:pPr>
    <w:rPr>
      <w:rFonts w:ascii="Calibri" w:eastAsia="Calibri" w:hAnsi="Calibri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0879F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79F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8F3DC-9229-4BD7-8ACF-9F60CCAB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7631</Words>
  <Characters>4351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cp:lastPrinted>2024-04-19T09:04:00Z</cp:lastPrinted>
  <dcterms:created xsi:type="dcterms:W3CDTF">2024-05-07T11:24:00Z</dcterms:created>
  <dcterms:modified xsi:type="dcterms:W3CDTF">2024-05-07T11:24:00Z</dcterms:modified>
</cp:coreProperties>
</file>