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BC53" w14:textId="77777777" w:rsidR="003D7F5E" w:rsidRDefault="003D7F5E" w:rsidP="003D7F5E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3D4594C" w14:textId="39BFF91E" w:rsidR="00B85844" w:rsidRDefault="00B85844" w:rsidP="003D7F5E">
      <w:pPr>
        <w:pStyle w:val="st7"/>
        <w:spacing w:before="0" w:after="0"/>
        <w:ind w:left="0" w:right="0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>
        <w:rPr>
          <w:rStyle w:val="st161"/>
          <w:lang w:val="uk-UA"/>
        </w:rPr>
        <w:t xml:space="preserve"> </w:t>
      </w:r>
      <w:r>
        <w:rPr>
          <w:rStyle w:val="st161"/>
        </w:rPr>
        <w:t>у</w:t>
      </w:r>
      <w:r w:rsidR="00357ECB">
        <w:rPr>
          <w:rStyle w:val="st161"/>
          <w:lang w:val="uk-UA"/>
        </w:rPr>
        <w:t xml:space="preserve"> </w:t>
      </w:r>
      <w:r w:rsidR="00CE0987">
        <w:rPr>
          <w:rStyle w:val="st161"/>
          <w:lang w:val="uk-UA"/>
        </w:rPr>
        <w:t xml:space="preserve">Оситнязькій </w:t>
      </w:r>
      <w:r w:rsidR="00357ECB">
        <w:rPr>
          <w:rStyle w:val="st161"/>
          <w:lang w:val="uk-UA"/>
        </w:rPr>
        <w:t xml:space="preserve">лікарській </w:t>
      </w:r>
      <w:r>
        <w:rPr>
          <w:rStyle w:val="st161"/>
          <w:b w:val="0"/>
          <w:bCs w:val="0"/>
        </w:rPr>
        <w:t xml:space="preserve"> </w:t>
      </w:r>
      <w:r w:rsidR="00357ECB">
        <w:rPr>
          <w:rStyle w:val="st161"/>
          <w:lang w:val="uk-UA"/>
        </w:rPr>
        <w:t>амбулаторії загальної практики та сімейної медицини</w:t>
      </w:r>
      <w:r w:rsidR="00DC26F9">
        <w:rPr>
          <w:rStyle w:val="st161"/>
          <w:lang w:val="uk-UA"/>
        </w:rPr>
        <w:t>,</w:t>
      </w:r>
      <w:r>
        <w:rPr>
          <w:rStyle w:val="st161"/>
          <w:lang w:val="uk-UA"/>
        </w:rPr>
        <w:t xml:space="preserve"> с. </w:t>
      </w:r>
      <w:r w:rsidR="00357ECB">
        <w:rPr>
          <w:rStyle w:val="st161"/>
          <w:lang w:val="uk-UA"/>
        </w:rPr>
        <w:t>Оситняжка</w:t>
      </w:r>
    </w:p>
    <w:p w14:paraId="6E62B1D8" w14:textId="77777777" w:rsidR="003D7F5E" w:rsidRDefault="003D7F5E" w:rsidP="003D7F5E">
      <w:pPr>
        <w:pStyle w:val="st7"/>
        <w:spacing w:before="0" w:after="0"/>
        <w:ind w:left="0" w:right="0"/>
        <w:rPr>
          <w:rStyle w:val="st161"/>
          <w:lang w:val="uk-UA"/>
        </w:rPr>
      </w:pPr>
    </w:p>
    <w:tbl>
      <w:tblPr>
        <w:tblW w:w="615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4"/>
        <w:gridCol w:w="16"/>
        <w:gridCol w:w="3218"/>
        <w:gridCol w:w="1235"/>
        <w:gridCol w:w="1149"/>
        <w:gridCol w:w="611"/>
        <w:gridCol w:w="332"/>
        <w:gridCol w:w="82"/>
        <w:gridCol w:w="916"/>
        <w:gridCol w:w="218"/>
        <w:gridCol w:w="1186"/>
        <w:gridCol w:w="2319"/>
      </w:tblGrid>
      <w:tr w:rsidR="00B85844" w14:paraId="696C22D4" w14:textId="77777777" w:rsidTr="00B85844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728BDA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Загальна інформація про об’єкт</w:t>
            </w:r>
          </w:p>
        </w:tc>
      </w:tr>
      <w:tr w:rsidR="00B85844" w14:paraId="2F9B5DDA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09E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1DBF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Дата проведення обстеження</w:t>
            </w:r>
            <w:r>
              <w:rPr>
                <w:rStyle w:val="st42"/>
                <w:lang w:val="uk-UA" w:eastAsia="en-US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F0C" w14:textId="411E9EE0" w:rsidR="00B85844" w:rsidRDefault="008E03E6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  <w:r w:rsidR="00613704">
              <w:rPr>
                <w:rStyle w:val="st42"/>
                <w:b/>
                <w:bCs/>
                <w:lang w:val="uk-UA" w:eastAsia="en-US"/>
              </w:rPr>
              <w:t>6.09</w:t>
            </w:r>
            <w:r>
              <w:rPr>
                <w:rStyle w:val="st42"/>
                <w:b/>
                <w:bCs/>
                <w:lang w:val="uk-UA" w:eastAsia="en-US"/>
              </w:rPr>
              <w:t>.202</w:t>
            </w:r>
            <w:r w:rsidR="00613704">
              <w:rPr>
                <w:rStyle w:val="st42"/>
                <w:b/>
                <w:bCs/>
                <w:lang w:val="uk-UA" w:eastAsia="en-US"/>
              </w:rPr>
              <w:t>4</w:t>
            </w:r>
            <w:r w:rsidR="00B85844">
              <w:rPr>
                <w:rStyle w:val="st42"/>
                <w:lang w:val="uk-UA" w:eastAsia="en-US"/>
              </w:rPr>
              <w:t xml:space="preserve">                                       </w:t>
            </w:r>
          </w:p>
        </w:tc>
      </w:tr>
      <w:tr w:rsidR="00B85844" w14:paraId="2092B4A7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A66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62D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lang w:eastAsia="en-US"/>
              </w:rPr>
              <w:t>Адреса розташування об’єкта</w:t>
            </w:r>
            <w:r>
              <w:rPr>
                <w:rStyle w:val="st42"/>
                <w:b/>
                <w:bCs/>
                <w:lang w:val="uk-UA" w:eastAsia="en-US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1796" w14:textId="723658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вул. Центральна </w:t>
            </w:r>
            <w:r w:rsidR="00357ECB">
              <w:rPr>
                <w:rStyle w:val="st42"/>
                <w:b/>
                <w:bCs/>
                <w:lang w:val="uk-UA" w:eastAsia="en-US"/>
              </w:rPr>
              <w:t>44</w:t>
            </w:r>
            <w:r>
              <w:rPr>
                <w:rStyle w:val="st42"/>
                <w:b/>
                <w:bCs/>
                <w:lang w:val="uk-UA" w:eastAsia="en-US"/>
              </w:rPr>
              <w:t xml:space="preserve"> , с. </w:t>
            </w:r>
            <w:r w:rsidR="00357ECB">
              <w:rPr>
                <w:rStyle w:val="st42"/>
                <w:b/>
                <w:bCs/>
                <w:lang w:val="uk-UA" w:eastAsia="en-US"/>
              </w:rPr>
              <w:t>Оситняжка</w:t>
            </w:r>
            <w:r>
              <w:rPr>
                <w:rStyle w:val="st42"/>
                <w:b/>
                <w:bCs/>
                <w:lang w:val="uk-UA" w:eastAsia="en-US"/>
              </w:rPr>
              <w:t xml:space="preserve"> Кропивницький район Кіровоградська область</w:t>
            </w:r>
          </w:p>
        </w:tc>
      </w:tr>
      <w:tr w:rsidR="00B85844" w14:paraId="205C614B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85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5D9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Форма власності</w:t>
            </w:r>
            <w:r>
              <w:rPr>
                <w:rStyle w:val="st42"/>
                <w:lang w:val="uk-UA" w:eastAsia="en-US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EA7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Комунальна</w:t>
            </w:r>
          </w:p>
        </w:tc>
      </w:tr>
      <w:tr w:rsidR="00B85844" w14:paraId="36241D02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13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4240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Найменування послуги</w:t>
            </w:r>
            <w:r>
              <w:rPr>
                <w:rStyle w:val="st42"/>
                <w:lang w:val="uk-UA" w:eastAsia="en-US"/>
              </w:rPr>
              <w:t xml:space="preserve">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3B3" w14:textId="2975B42F" w:rsidR="00B85844" w:rsidRDefault="00357ECB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Охорона здоров'я</w:t>
            </w:r>
          </w:p>
        </w:tc>
      </w:tr>
      <w:tr w:rsidR="00B85844" w14:paraId="3B2D7BF5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AD8B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2D7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Особа, яка проводила обстеження</w:t>
            </w:r>
            <w:r>
              <w:rPr>
                <w:rStyle w:val="st42"/>
                <w:lang w:val="uk-UA" w:eastAsia="en-US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F69A" w14:textId="77777777" w:rsidR="008E03E6" w:rsidRDefault="008E03E6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Головний спеціаліст </w:t>
            </w:r>
          </w:p>
          <w:p w14:paraId="6EBF47AC" w14:textId="42D16FDB" w:rsidR="00B85844" w:rsidRDefault="008E03E6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Ушакова Людмила Анатоліївна</w:t>
            </w:r>
          </w:p>
        </w:tc>
      </w:tr>
      <w:tr w:rsidR="00B85844" w14:paraId="553E6694" w14:textId="77777777" w:rsidTr="00B85844">
        <w:trPr>
          <w:gridAfter w:val="1"/>
          <w:wAfter w:w="2333" w:type="dxa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43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BA4" w14:textId="77777777" w:rsidR="00B85844" w:rsidRPr="008E03E6" w:rsidRDefault="00B85844">
            <w:pPr>
              <w:pStyle w:val="st14"/>
              <w:spacing w:line="256" w:lineRule="auto"/>
              <w:rPr>
                <w:rStyle w:val="st42"/>
                <w:lang w:val="ru-RU" w:eastAsia="en-US"/>
              </w:rPr>
            </w:pPr>
            <w:r>
              <w:rPr>
                <w:rStyle w:val="st42"/>
                <w:lang w:eastAsia="en-US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 w:eastAsia="en-US"/>
              </w:rPr>
              <w:t xml:space="preserve"> 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2321" w14:textId="351656A6" w:rsidR="00B85844" w:rsidRDefault="008E03E6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050 012 72 99 </w:t>
            </w:r>
            <w:r w:rsidR="00B85844">
              <w:rPr>
                <w:rStyle w:val="st42"/>
                <w:b/>
                <w:bCs/>
                <w:lang w:val="uk-UA" w:eastAsia="en-US"/>
              </w:rPr>
              <w:t>,</w:t>
            </w:r>
            <w:r w:rsidR="00B85844">
              <w:rPr>
                <w:rStyle w:val="st42"/>
                <w:b/>
                <w:bCs/>
                <w:lang w:val="en-US" w:eastAsia="en-US"/>
              </w:rPr>
              <w:t xml:space="preserve"> </w:t>
            </w:r>
            <w:hyperlink r:id="rId4" w:history="1">
              <w:r w:rsidR="00B85844">
                <w:rPr>
                  <w:rStyle w:val="a3"/>
                  <w:b/>
                  <w:bCs/>
                  <w:lang w:val="en-US" w:eastAsia="en-US"/>
                </w:rPr>
                <w:t>severunka2014@ukr.net</w:t>
              </w:r>
            </w:hyperlink>
          </w:p>
        </w:tc>
      </w:tr>
      <w:tr w:rsidR="00B85844" w14:paraId="51CE3B8B" w14:textId="77777777" w:rsidTr="00B85844">
        <w:trPr>
          <w:tblCellSpacing w:w="0" w:type="dxa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2217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D88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54D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2333" w:type="dxa"/>
          </w:tcPr>
          <w:p w14:paraId="40A33FAA" w14:textId="77777777" w:rsidR="00B85844" w:rsidRDefault="00B85844"/>
        </w:tc>
      </w:tr>
      <w:tr w:rsidR="00B85844" w14:paraId="0EC0D6E9" w14:textId="77777777" w:rsidTr="00B85844"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FCF14B7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65AACC9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 xml:space="preserve">Відповідність критеріям </w:t>
            </w:r>
            <w:r>
              <w:rPr>
                <w:rStyle w:val="st44"/>
                <w:lang w:eastAsia="en-US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FA3820D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Примітки</w:t>
            </w:r>
          </w:p>
        </w:tc>
      </w:tr>
      <w:tr w:rsidR="00B85844" w14:paraId="6EB28FD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01663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BBBF17A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2B9B7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F78B9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258C4AA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4A3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DE04BF0" w14:textId="6088947B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CE313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3151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1E96441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A15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4F864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2) таких місць не менш як 10 відсотків загальної кількості (але не менш як одне місце), місця позначені дорожніми </w:t>
            </w:r>
            <w:r>
              <w:rPr>
                <w:rStyle w:val="st42"/>
                <w:lang w:eastAsia="en-US"/>
              </w:rPr>
              <w:lastRenderedPageBreak/>
              <w:t>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DF65C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50533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754EAC2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2D01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22E428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3B9F8C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88A5D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7194C16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2558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015897E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488F8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B6DEF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56D5533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BF0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D6BE462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F2534A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62D01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0D3C65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83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D13A0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4AAE5EB" w14:textId="0C0A2689" w:rsidR="00B85844" w:rsidRDefault="001D49DF" w:rsidP="00613704">
            <w:pPr>
              <w:pStyle w:val="st14"/>
              <w:spacing w:line="256" w:lineRule="auto"/>
              <w:jc w:val="center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B4352FF" w14:textId="7C74FC48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0B66821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EC8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7FE41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5D8971" w14:textId="758E132F" w:rsidR="00B85844" w:rsidRDefault="001D49DF" w:rsidP="00613704">
            <w:pPr>
              <w:pStyle w:val="st14"/>
              <w:spacing w:line="256" w:lineRule="auto"/>
              <w:jc w:val="center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6E740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7AB981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949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440B1A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46AA39D" w14:textId="2C3405F5" w:rsidR="00B85844" w:rsidRDefault="001D49DF" w:rsidP="00613704">
            <w:pPr>
              <w:pStyle w:val="st14"/>
              <w:spacing w:line="256" w:lineRule="auto"/>
              <w:jc w:val="center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13763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96441A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772D6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FD87EF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854AFF9" w14:textId="44826EB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1D49DF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EF964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34B344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37C882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514147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E611E7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BDA1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0AA980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211B9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2BAE7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0F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E7C62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8AEB17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25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0FCA8A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D9F64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CAA1D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28C739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9E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FB3BE1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2) у разі наявності на вході до будівлі або споруди сходів </w:t>
            </w:r>
            <w:r>
              <w:rPr>
                <w:rStyle w:val="st42"/>
                <w:lang w:eastAsia="en-US"/>
              </w:rPr>
              <w:lastRenderedPageBreak/>
              <w:t>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8FFEF3" w14:textId="207D9B69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8348984" w14:textId="4003A08C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4D69342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D54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F72DCA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87481C" w14:textId="314046BC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en-US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E62D6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AFD7EF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3D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8C05D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1C7F1AE" w14:textId="1C2DCB4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8F500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A2AB32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046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427C6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AB34B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130EC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2BA614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7DE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15597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714EDB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F038A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F8CC1D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25E9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E64C956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B8CBE5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6EB7C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AD0CDF9" w14:textId="77777777" w:rsidTr="00B85844">
        <w:trPr>
          <w:gridAfter w:val="1"/>
          <w:wAfter w:w="2333" w:type="dxa"/>
          <w:trHeight w:val="824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C3D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A0B246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87FFD1F" w14:textId="146D11A1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1E849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CAF8D7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7AA9B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7CEA128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D09722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CBD8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B0FE1A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D36C5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EF47F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8A81E07" w14:textId="1286F44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en-US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4C9D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DF68C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514F89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96522B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F0DE0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82AAC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2751C8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C30F6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33BBD7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FB9E884" w14:textId="1DEDA20D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19FFB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F86BA5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D42E3A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3FE2FFB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83598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0F0D8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DB450A7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A6EA8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8017D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200C17" w14:textId="1DD75DAB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7CBEE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53183E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86DB0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lastRenderedPageBreak/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8C820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64A65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4D93F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97AB7B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33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CB0B89D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2A72923" w14:textId="6DA4F992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  <w:r>
              <w:rPr>
                <w:rStyle w:val="st42"/>
                <w:b/>
                <w:bCs/>
                <w:lang w:val="uk-UA" w:eastAsia="en-US"/>
              </w:rPr>
              <w:t xml:space="preserve">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E21635" w14:textId="42FC17A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</w:t>
            </w:r>
          </w:p>
        </w:tc>
      </w:tr>
      <w:tr w:rsidR="00B85844" w14:paraId="19591E0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8D6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CB3216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4D3A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B7F5A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CFF272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E0E7A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122C81A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E638B9F" w14:textId="13E6ED63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F04E7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29C91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3A5F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262064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596F13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0794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FFFA70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D4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487DE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1292C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4EAC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3669EA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0C5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60140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AED4ED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7A44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1C51F54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23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84552C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2C42B4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C7E9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DCB2E0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6A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0129F2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56F97B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1D3D7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0719BC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C1C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C1B2E9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BF95B9B" w14:textId="79980619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3BFD4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51608B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0E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99764F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</w:t>
            </w:r>
            <w:r>
              <w:rPr>
                <w:rStyle w:val="st42"/>
                <w:lang w:eastAsia="en-US"/>
              </w:rPr>
              <w:lastRenderedPageBreak/>
              <w:t>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008716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26B9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E1730E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F23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123FD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2760E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BCB92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1CF333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03A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42452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96301E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4D62A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CD63E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401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664538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1E453D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70CF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1E22B1E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30B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504AA6E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0AF42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44A2B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1100B1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BA17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05DB6C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BF9A9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B9E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7C31BC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B2D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2BB5E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2EE552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45AB2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05427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B3B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77A83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7D216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76EA3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B4EC70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EF6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BA71E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B01F7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B3870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79F6F06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D13F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3A95432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0FFB1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20CE8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5760AA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27B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C6D4CB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DE56A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DFAA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689095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5ED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7C1E5D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A5B69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5AB2C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16BDE6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CC96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1B04DA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9F5A6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CFD3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7F4C1C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3F2B8C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765A7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78B74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1C264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0B1AE89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57D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C08726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B19906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618C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970FA5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9D9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88030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AE7D9C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99E19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DED3BB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95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73519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0D50D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E40DA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092B0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29E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69933B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642122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BE5D2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03E18F4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C3FD9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8E53C9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D531EF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D6B7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199687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50402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B9E738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E81B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617A3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99E64C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488B32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B10D65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FFB3433" w14:textId="47AC1BF4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0E60A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A6629C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8DAB3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ED62C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AF3160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A0EB0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839C38F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5D081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80C239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BD108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09E6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FE0D0F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0459A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A4AFA2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6AFEB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BA587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292D13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BD06EB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BF3CE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8FB0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6B39B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34201F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71F93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73581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07A71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A2592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1345BD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1EBF8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D66C6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0086C3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2BCBC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181DC6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34AF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94F26F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C95BD26" w14:textId="58FA46F4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862D3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66ED1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F1C04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6926C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30062E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        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DDFE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7892BC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A18A8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24D3A3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7BEEE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C415E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54CE917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61BB4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5B5E6D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 xml:space="preserve">Безбар’єрність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42533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E3F3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475DD411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9700B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602E21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A77680" w14:textId="4EC1CE37" w:rsidR="00B85844" w:rsidRDefault="001B546C" w:rsidP="00613704">
            <w:pPr>
              <w:pStyle w:val="st14"/>
              <w:spacing w:line="256" w:lineRule="auto"/>
              <w:jc w:val="center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79F2A1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095F503A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9D784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1B148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AF0553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02F43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085D13C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572A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Серед працюючих кількість осіб</w:t>
            </w:r>
          </w:p>
        </w:tc>
      </w:tr>
      <w:tr w:rsidR="00B85844" w14:paraId="1718CFF3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387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D4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C0D8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01D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них</w:t>
            </w:r>
          </w:p>
        </w:tc>
      </w:tr>
      <w:tr w:rsidR="00B85844" w14:paraId="58BEEBA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5E04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6E5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80F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B42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CB9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61F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66F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мають інші порушення</w:t>
            </w:r>
          </w:p>
        </w:tc>
      </w:tr>
      <w:tr w:rsidR="00B85844" w14:paraId="7CB9B442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80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B0F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715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3B67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B21E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841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07A8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B85844" w14:paraId="31850BC8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E78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39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DC1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F4C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358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B4D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BFC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23D38DCB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1CD7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B85844" w14:paraId="55F2254E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7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021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0275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 xml:space="preserve">Усього </w:t>
            </w:r>
            <w:r>
              <w:rPr>
                <w:rStyle w:val="st44"/>
                <w:lang w:eastAsia="en-US"/>
              </w:rPr>
              <w:lastRenderedPageBreak/>
              <w:t>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EA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lastRenderedPageBreak/>
              <w:t>З них</w:t>
            </w:r>
          </w:p>
        </w:tc>
      </w:tr>
      <w:tr w:rsidR="00B85844" w14:paraId="37DD40A5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13F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436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E604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FE99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093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BB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2C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мають інші порушення</w:t>
            </w:r>
          </w:p>
        </w:tc>
      </w:tr>
      <w:tr w:rsidR="00B85844" w14:paraId="5C185EFD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2C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30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C54" w14:textId="77777777" w:rsidR="00B85844" w:rsidRDefault="00B85844">
            <w:pPr>
              <w:pStyle w:val="st12"/>
              <w:spacing w:line="256" w:lineRule="auto"/>
              <w:jc w:val="left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BDF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8AF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B7E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30D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B85844" w14:paraId="32F0F7B0" w14:textId="77777777" w:rsidTr="00B85844">
        <w:trPr>
          <w:gridAfter w:val="1"/>
          <w:wAfter w:w="2333" w:type="dxa"/>
          <w:trHeight w:val="12"/>
          <w:tblCellSpacing w:w="0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4E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D9A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з них жінки</w:t>
            </w:r>
            <w:r>
              <w:rPr>
                <w:rStyle w:val="st42"/>
                <w:lang w:val="uk-UA" w:eastAsia="en-US"/>
              </w:rPr>
              <w:t xml:space="preserve">       </w:t>
            </w: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10B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5D4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FE6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1C8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41C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</w:tbl>
    <w:p w14:paraId="615AFBE5" w14:textId="2A73F3E8" w:rsidR="00B85844" w:rsidRPr="007E54DD" w:rsidRDefault="00B85844" w:rsidP="00B85844">
      <w:pPr>
        <w:pStyle w:val="st14"/>
        <w:rPr>
          <w:rStyle w:val="st42"/>
          <w:b/>
          <w:bCs/>
          <w:u w:val="single"/>
          <w:lang w:val="uk-UA"/>
        </w:rPr>
      </w:pPr>
      <w:r>
        <w:rPr>
          <w:rStyle w:val="st42"/>
        </w:rPr>
        <w:t xml:space="preserve">Підсумки </w:t>
      </w:r>
      <w:r w:rsidRPr="007E54DD">
        <w:rPr>
          <w:rStyle w:val="st42"/>
          <w:b/>
          <w:bCs/>
          <w:u w:val="single"/>
          <w:lang w:val="uk-UA"/>
        </w:rPr>
        <w:t>_________</w:t>
      </w:r>
      <w:r w:rsidR="007E54DD" w:rsidRPr="007E54DD">
        <w:rPr>
          <w:rStyle w:val="st42"/>
          <w:b/>
          <w:bCs/>
          <w:u w:val="single"/>
          <w:lang w:val="uk-UA"/>
        </w:rPr>
        <w:t>Частково б</w:t>
      </w:r>
      <w:r>
        <w:rPr>
          <w:rStyle w:val="st42"/>
          <w:b/>
          <w:bCs/>
          <w:u w:val="single"/>
          <w:lang w:val="uk-UA"/>
        </w:rPr>
        <w:t>ар'єрний</w:t>
      </w:r>
      <w:r w:rsidRPr="007E54DD">
        <w:rPr>
          <w:rStyle w:val="st42"/>
          <w:b/>
          <w:bCs/>
          <w:u w:val="single"/>
          <w:lang w:val="uk-UA"/>
        </w:rPr>
        <w:t>_______*</w:t>
      </w:r>
    </w:p>
    <w:p w14:paraId="7A7E5BAD" w14:textId="441B434B" w:rsidR="00B85844" w:rsidRDefault="00B85844" w:rsidP="00B85844">
      <w:pPr>
        <w:pStyle w:val="st8"/>
        <w:rPr>
          <w:rStyle w:val="st82"/>
        </w:rPr>
      </w:pPr>
      <w:r w:rsidRPr="007E54DD">
        <w:rPr>
          <w:rStyle w:val="st42"/>
          <w:b/>
          <w:bCs/>
          <w:u w:val="single"/>
          <w:lang w:val="uk-UA"/>
        </w:rPr>
        <w:br/>
      </w:r>
      <w:r>
        <w:rPr>
          <w:rStyle w:val="st82"/>
        </w:rPr>
        <w:t>* Зазначається:</w:t>
      </w:r>
      <w:r w:rsidR="008E03E6">
        <w:rPr>
          <w:rStyle w:val="st82"/>
          <w:lang w:val="uk-UA"/>
        </w:rPr>
        <w:t xml:space="preserve"> </w:t>
      </w:r>
      <w:r>
        <w:rPr>
          <w:rStyle w:val="st82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8E03E6">
        <w:rPr>
          <w:rStyle w:val="st82"/>
          <w:lang w:val="uk-UA"/>
        </w:rPr>
        <w:t xml:space="preserve"> </w:t>
      </w:r>
      <w:r>
        <w:rPr>
          <w:rStyle w:val="st82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C8FF3BB" w14:textId="77777777" w:rsidR="00B85844" w:rsidRDefault="00B85844" w:rsidP="00B85844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r>
        <w:rPr>
          <w:rStyle w:val="st42"/>
          <w:b/>
          <w:bCs/>
          <w:lang w:val="uk-UA"/>
        </w:rPr>
        <w:t>Великосеверинівська сільська рада</w:t>
      </w:r>
    </w:p>
    <w:p w14:paraId="19863EC1" w14:textId="1EEDE669" w:rsidR="00B85844" w:rsidRDefault="00B85844" w:rsidP="00B85844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 </w:t>
      </w:r>
      <w:r w:rsidR="008E03E6">
        <w:rPr>
          <w:rStyle w:val="st42"/>
          <w:lang w:val="uk-UA"/>
        </w:rPr>
        <w:t>0</w:t>
      </w:r>
      <w:r w:rsidR="00613704">
        <w:rPr>
          <w:rStyle w:val="st42"/>
          <w:lang w:val="uk-UA"/>
        </w:rPr>
        <w:t>6</w:t>
      </w:r>
      <w:r>
        <w:rPr>
          <w:rStyle w:val="st42"/>
          <w:lang w:val="uk-UA"/>
        </w:rPr>
        <w:t xml:space="preserve">  </w:t>
      </w:r>
      <w:r>
        <w:rPr>
          <w:rStyle w:val="st42"/>
        </w:rPr>
        <w:t xml:space="preserve">” </w:t>
      </w:r>
      <w:r w:rsidR="00613704">
        <w:rPr>
          <w:rStyle w:val="st42"/>
          <w:lang w:val="uk-UA"/>
        </w:rPr>
        <w:t>вересн</w:t>
      </w:r>
      <w:r w:rsidR="008E03E6">
        <w:rPr>
          <w:rStyle w:val="st42"/>
          <w:lang w:val="uk-UA"/>
        </w:rPr>
        <w:t>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613704">
        <w:rPr>
          <w:rStyle w:val="st42"/>
          <w:lang w:val="uk-UA"/>
        </w:rPr>
        <w:t>4</w:t>
      </w:r>
      <w:bookmarkStart w:id="0" w:name="_GoBack"/>
      <w:bookmarkEnd w:id="0"/>
      <w:r>
        <w:rPr>
          <w:rStyle w:val="st42"/>
        </w:rPr>
        <w:t xml:space="preserve">  р.</w:t>
      </w:r>
    </w:p>
    <w:p w14:paraId="4E222237" w14:textId="77777777" w:rsidR="00B85844" w:rsidRDefault="00B85844" w:rsidP="00B85844"/>
    <w:p w14:paraId="0E87895A" w14:textId="77777777" w:rsidR="00B85844" w:rsidRDefault="00B85844" w:rsidP="00B85844"/>
    <w:p w14:paraId="6CD9B6D6" w14:textId="77777777" w:rsidR="009F03D3" w:rsidRDefault="009F03D3"/>
    <w:sectPr w:rsidR="009F03D3" w:rsidSect="003D7F5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4"/>
    <w:rsid w:val="001B546C"/>
    <w:rsid w:val="001D49DF"/>
    <w:rsid w:val="00357ECB"/>
    <w:rsid w:val="003D7F5E"/>
    <w:rsid w:val="004152D1"/>
    <w:rsid w:val="004724B4"/>
    <w:rsid w:val="004F72FB"/>
    <w:rsid w:val="00613704"/>
    <w:rsid w:val="007E54DD"/>
    <w:rsid w:val="008E03E6"/>
    <w:rsid w:val="009F03D3"/>
    <w:rsid w:val="00B85844"/>
    <w:rsid w:val="00C31A08"/>
    <w:rsid w:val="00CE0987"/>
    <w:rsid w:val="00DC26F9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1F21"/>
  <w15:chartTrackingRefBased/>
  <w15:docId w15:val="{347FCA32-B9F8-4A63-97B5-7C22A4E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44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844"/>
    <w:rPr>
      <w:color w:val="0563C1" w:themeColor="hyperlink"/>
      <w:u w:val="single"/>
    </w:rPr>
  </w:style>
  <w:style w:type="paragraph" w:customStyle="1" w:styleId="st7">
    <w:name w:val="st7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B8584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B85844"/>
    <w:rPr>
      <w:color w:val="000000"/>
    </w:rPr>
  </w:style>
  <w:style w:type="character" w:customStyle="1" w:styleId="st161">
    <w:name w:val="st161"/>
    <w:uiPriority w:val="99"/>
    <w:rsid w:val="00B85844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B85844"/>
    <w:rPr>
      <w:b/>
      <w:bCs/>
      <w:color w:val="000000"/>
    </w:rPr>
  </w:style>
  <w:style w:type="character" w:customStyle="1" w:styleId="st82">
    <w:name w:val="st82"/>
    <w:uiPriority w:val="99"/>
    <w:rsid w:val="00B8584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9201</Words>
  <Characters>5246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12</cp:revision>
  <dcterms:created xsi:type="dcterms:W3CDTF">2021-10-01T08:31:00Z</dcterms:created>
  <dcterms:modified xsi:type="dcterms:W3CDTF">2024-09-17T07:40:00Z</dcterms:modified>
</cp:coreProperties>
</file>