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05" w:rsidRPr="00F51C05" w:rsidRDefault="00F51C05" w:rsidP="00F51C05">
      <w:pPr>
        <w:spacing w:after="160" w:line="240" w:lineRule="auto"/>
        <w:ind w:left="5103"/>
        <w:rPr>
          <w:rFonts w:ascii="Times New Roman" w:eastAsia="Times New Roman" w:hAnsi="Times New Roman" w:cs="Times New Roman"/>
          <w:sz w:val="28"/>
          <w:szCs w:val="28"/>
          <w:lang w:val="uk-UA" w:eastAsia="ru-RU"/>
        </w:rPr>
      </w:pPr>
      <w:r w:rsidRPr="00F51C05">
        <w:rPr>
          <w:rFonts w:ascii="Times New Roman" w:eastAsia="Times New Roman" w:hAnsi="Times New Roman" w:cs="Times New Roman"/>
          <w:sz w:val="28"/>
          <w:szCs w:val="28"/>
          <w:lang w:val="uk-UA" w:eastAsia="ru-RU"/>
        </w:rPr>
        <w:t>Додаток 1 до рішення Великосеверинівської сільської ради від 30</w:t>
      </w:r>
      <w:r w:rsidRPr="00F51C05">
        <w:rPr>
          <w:rFonts w:ascii="Times New Roman" w:eastAsia="Times New Roman" w:hAnsi="Times New Roman" w:cs="Times New Roman"/>
          <w:sz w:val="28"/>
          <w:szCs w:val="28"/>
          <w:lang w:eastAsia="ru-RU"/>
        </w:rPr>
        <w:t xml:space="preserve"> </w:t>
      </w:r>
      <w:r w:rsidRPr="00F51C05">
        <w:rPr>
          <w:rFonts w:ascii="Times New Roman" w:eastAsia="Times New Roman" w:hAnsi="Times New Roman" w:cs="Times New Roman"/>
          <w:sz w:val="28"/>
          <w:szCs w:val="28"/>
          <w:lang w:val="uk-UA" w:eastAsia="ru-RU"/>
        </w:rPr>
        <w:t>серпня 2024 року № 1603</w:t>
      </w:r>
    </w:p>
    <w:p w:rsidR="00F51C05" w:rsidRPr="00F51C05" w:rsidRDefault="00F51C05" w:rsidP="00F51C05">
      <w:pPr>
        <w:spacing w:after="160" w:line="240" w:lineRule="auto"/>
        <w:ind w:left="5670"/>
        <w:rPr>
          <w:rFonts w:ascii="Times New Roman" w:eastAsia="Calibri" w:hAnsi="Times New Roman" w:cs="Times New Roman"/>
          <w:sz w:val="28"/>
        </w:rPr>
      </w:pPr>
    </w:p>
    <w:p w:rsidR="00F51C05" w:rsidRPr="00F51C05" w:rsidRDefault="00F51C05" w:rsidP="00F51C05">
      <w:pPr>
        <w:spacing w:after="0" w:line="240" w:lineRule="auto"/>
        <w:ind w:left="502"/>
        <w:contextualSpacing/>
        <w:jc w:val="center"/>
        <w:rPr>
          <w:rFonts w:ascii="Times New Roman" w:eastAsia="Calibri" w:hAnsi="Times New Roman" w:cs="Times New Roman"/>
          <w:b/>
          <w:sz w:val="32"/>
          <w:szCs w:val="32"/>
          <w:lang w:val="uk-UA"/>
        </w:rPr>
      </w:pPr>
      <w:r w:rsidRPr="00F51C05">
        <w:rPr>
          <w:rFonts w:ascii="Times New Roman" w:eastAsia="Calibri" w:hAnsi="Times New Roman" w:cs="Times New Roman"/>
          <w:b/>
          <w:sz w:val="32"/>
          <w:szCs w:val="32"/>
          <w:lang w:val="uk-UA"/>
        </w:rPr>
        <w:t>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F51C05" w:rsidRPr="00F51C05" w:rsidRDefault="00F51C05" w:rsidP="00F51C05">
      <w:pPr>
        <w:spacing w:after="160" w:line="240" w:lineRule="auto"/>
        <w:jc w:val="both"/>
        <w:rPr>
          <w:rFonts w:ascii="Times New Roman" w:eastAsia="Calibri" w:hAnsi="Times New Roman" w:cs="Times New Roman"/>
          <w:b/>
          <w:bCs/>
          <w:sz w:val="28"/>
          <w:szCs w:val="28"/>
          <w:lang w:val="uk-UA"/>
        </w:rPr>
      </w:pP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Моніторинг наслідків виконання документа державного планування для довкілля, у тому числі для здоров’я населення та визначення заходів із запобігання, зменшення та  пом’якшення  негативних наслідків виконання  документа державного планування здійснюються відповідно до Постанови Кабінету Міністрів України від 16 грудня 2020 року № 1272 «Про затвердження Порядку здійснення моніторингу наслідків виконання документа державного планування для довкілля, у тому числі для здоров’я населення».</w:t>
      </w: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xml:space="preserve">Для здійснення моніторингу замовник документа державного планування розробляє заходи з урахуванням результатів громадського обговорення, консультацій з органами виконавчої влади у процесі проведення стратегічної екологічної оцінки та транскордонних консультацій (у разі їх проведення). Здійснення таких заходів забезпечує можливість: </w:t>
      </w: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xml:space="preserve">- виявлення наслідків виконання документа державного планування для довкілля, у тому числі для здоров’я населення, а саме вторинних, кумулятивних, </w:t>
      </w:r>
      <w:proofErr w:type="spellStart"/>
      <w:r w:rsidRPr="00F51C05">
        <w:rPr>
          <w:rFonts w:ascii="Times New Roman" w:eastAsia="Calibri" w:hAnsi="Times New Roman" w:cs="Times New Roman"/>
          <w:sz w:val="28"/>
          <w:szCs w:val="28"/>
          <w:lang w:val="uk-UA"/>
        </w:rPr>
        <w:t>синергічних</w:t>
      </w:r>
      <w:proofErr w:type="spellEnd"/>
      <w:r w:rsidRPr="00F51C05">
        <w:rPr>
          <w:rFonts w:ascii="Times New Roman" w:eastAsia="Calibri" w:hAnsi="Times New Roman" w:cs="Times New Roman"/>
          <w:sz w:val="28"/>
          <w:szCs w:val="28"/>
          <w:lang w:val="uk-UA"/>
        </w:rPr>
        <w:t xml:space="preserve">, </w:t>
      </w:r>
      <w:proofErr w:type="spellStart"/>
      <w:r w:rsidRPr="00F51C05">
        <w:rPr>
          <w:rFonts w:ascii="Times New Roman" w:eastAsia="Calibri" w:hAnsi="Times New Roman" w:cs="Times New Roman"/>
          <w:sz w:val="28"/>
          <w:szCs w:val="28"/>
          <w:lang w:val="uk-UA"/>
        </w:rPr>
        <w:t>коротко-</w:t>
      </w:r>
      <w:proofErr w:type="spellEnd"/>
      <w:r w:rsidRPr="00F51C05">
        <w:rPr>
          <w:rFonts w:ascii="Times New Roman" w:eastAsia="Calibri" w:hAnsi="Times New Roman" w:cs="Times New Roman"/>
          <w:sz w:val="28"/>
          <w:szCs w:val="28"/>
          <w:lang w:val="uk-UA"/>
        </w:rPr>
        <w:t xml:space="preserve">, </w:t>
      </w:r>
      <w:proofErr w:type="spellStart"/>
      <w:r w:rsidRPr="00F51C05">
        <w:rPr>
          <w:rFonts w:ascii="Times New Roman" w:eastAsia="Calibri" w:hAnsi="Times New Roman" w:cs="Times New Roman"/>
          <w:sz w:val="28"/>
          <w:szCs w:val="28"/>
          <w:lang w:val="uk-UA"/>
        </w:rPr>
        <w:t>середньо-</w:t>
      </w:r>
      <w:proofErr w:type="spellEnd"/>
      <w:r w:rsidRPr="00F51C05">
        <w:rPr>
          <w:rFonts w:ascii="Times New Roman" w:eastAsia="Calibri" w:hAnsi="Times New Roman" w:cs="Times New Roman"/>
          <w:sz w:val="28"/>
          <w:szCs w:val="28"/>
          <w:lang w:val="uk-UA"/>
        </w:rPr>
        <w:t xml:space="preserve"> та довгострокових (на один, три-п’ять, 10-15 років, 50-100 років відповідно), постійних і тимчасових, позитивних і негативних наслідків; - запобігання, зменшення та компенсації негативних наслідків, зумовлених виконанням документа державного планування; </w:t>
      </w: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xml:space="preserve">- запобігання, зменшення та компенсації негативних наслідків, зумовлених виконанням документа державного планування; </w:t>
      </w: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xml:space="preserve">- виявлення не передбачених звітом про стратегічну екологічну оцінку негативних наслідків виконання документа державного планування для довкілля, у тому числі для здоров’я населення. </w:t>
      </w: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Замовником документа державного планування є Великосеверинівська сільська рада, яка є відповідальним за розроблення документів державного планування – Детального плану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 та здійснює загальне керівництво і контроль за їх виконанням.</w:t>
      </w: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xml:space="preserve">Варто зазначити, що проект детального планування території визначає планувальну організацію, просторову композицію і параметри забудови та ландшафтної організації території проектування, тому для  забезпечення систематичності та об’єктивності спостережень сільська рада після </w:t>
      </w:r>
      <w:r w:rsidRPr="00F51C05">
        <w:rPr>
          <w:rFonts w:ascii="Times New Roman" w:eastAsia="Calibri" w:hAnsi="Times New Roman" w:cs="Times New Roman"/>
          <w:sz w:val="28"/>
          <w:szCs w:val="28"/>
          <w:lang w:val="uk-UA"/>
        </w:rPr>
        <w:lastRenderedPageBreak/>
        <w:t>затвердження ДДП визначає групу експертів, що відповідальні за здійснення моніторингу (моніторингові групи), їх склад та порядок роботи.</w:t>
      </w:r>
    </w:p>
    <w:p w:rsidR="00F51C05" w:rsidRPr="00F51C05" w:rsidRDefault="00F51C05" w:rsidP="00F51C05">
      <w:pPr>
        <w:spacing w:after="160" w:line="240" w:lineRule="auto"/>
        <w:ind w:firstLine="502"/>
        <w:jc w:val="both"/>
        <w:rPr>
          <w:rFonts w:ascii="Times New Roman" w:eastAsia="Calibri" w:hAnsi="Times New Roman" w:cs="Times New Roman"/>
          <w:b/>
          <w:bCs/>
          <w:i/>
          <w:iCs/>
          <w:sz w:val="28"/>
          <w:szCs w:val="28"/>
          <w:lang w:val="uk-UA"/>
        </w:rPr>
      </w:pPr>
      <w:r w:rsidRPr="00F51C05">
        <w:rPr>
          <w:rFonts w:ascii="Times New Roman" w:eastAsia="Calibri" w:hAnsi="Times New Roman" w:cs="Times New Roman"/>
          <w:b/>
          <w:bCs/>
          <w:i/>
          <w:iCs/>
          <w:sz w:val="28"/>
          <w:szCs w:val="28"/>
          <w:lang w:val="uk-UA"/>
        </w:rPr>
        <w:t>1. Зміст заходів, передбачених для здійснення моніторингу:</w:t>
      </w:r>
    </w:p>
    <w:p w:rsidR="00F51C05" w:rsidRPr="00F51C05" w:rsidRDefault="00F51C05" w:rsidP="00F51C05">
      <w:pPr>
        <w:spacing w:after="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моніторингова група контролює відповідність використання земельної ділянки за функціональним призначенням, визначеним містобудівною документацією;</w:t>
      </w:r>
    </w:p>
    <w:p w:rsidR="00F51C05" w:rsidRPr="00F51C05" w:rsidRDefault="00F51C05" w:rsidP="00F51C05">
      <w:pPr>
        <w:spacing w:after="0" w:line="240" w:lineRule="auto"/>
        <w:ind w:firstLine="502"/>
        <w:jc w:val="both"/>
        <w:rPr>
          <w:rFonts w:ascii="Times New Roman" w:eastAsia="Calibri" w:hAnsi="Times New Roman" w:cs="Times New Roman"/>
          <w:sz w:val="28"/>
          <w:lang w:val="uk-UA"/>
        </w:rPr>
      </w:pPr>
      <w:r w:rsidRPr="00F51C05">
        <w:rPr>
          <w:rFonts w:ascii="Times New Roman" w:eastAsia="Calibri" w:hAnsi="Times New Roman" w:cs="Times New Roman"/>
          <w:sz w:val="28"/>
          <w:lang w:val="uk-UA"/>
        </w:rPr>
        <w:t xml:space="preserve">- моніторингова група перевіряє відповідність розміщень об’єктів до </w:t>
      </w:r>
      <w:proofErr w:type="spellStart"/>
      <w:r w:rsidRPr="00F51C05">
        <w:rPr>
          <w:rFonts w:ascii="Times New Roman" w:eastAsia="Calibri" w:hAnsi="Times New Roman" w:cs="Times New Roman"/>
          <w:sz w:val="28"/>
          <w:lang w:val="uk-UA"/>
        </w:rPr>
        <w:t>проєктних</w:t>
      </w:r>
      <w:proofErr w:type="spellEnd"/>
      <w:r w:rsidRPr="00F51C05">
        <w:rPr>
          <w:rFonts w:ascii="Times New Roman" w:eastAsia="Calibri" w:hAnsi="Times New Roman" w:cs="Times New Roman"/>
          <w:sz w:val="28"/>
          <w:lang w:val="uk-UA"/>
        </w:rPr>
        <w:t xml:space="preserve"> рішень, що спрямовані на забезпечення санітарно-гігієнічних вимог в планувальній організації території. </w:t>
      </w:r>
      <w:r w:rsidRPr="00F51C05">
        <w:rPr>
          <w:rFonts w:ascii="Times New Roman" w:eastAsia="Calibri" w:hAnsi="Times New Roman" w:cs="Times New Roman"/>
          <w:i/>
          <w:iCs/>
          <w:sz w:val="28"/>
          <w:lang w:val="uk-UA"/>
        </w:rPr>
        <w:t>Строк виконання:</w:t>
      </w:r>
      <w:r w:rsidRPr="00F51C05">
        <w:rPr>
          <w:rFonts w:ascii="Times New Roman" w:eastAsia="Calibri" w:hAnsi="Times New Roman" w:cs="Times New Roman"/>
          <w:sz w:val="28"/>
          <w:lang w:val="uk-UA"/>
        </w:rPr>
        <w:t xml:space="preserve"> один раз на рік протягом строку дії документа державного планування та через рік після закінчення такого строку; </w:t>
      </w:r>
    </w:p>
    <w:p w:rsidR="00F51C05" w:rsidRPr="00F51C05" w:rsidRDefault="00F51C05" w:rsidP="00F51C05">
      <w:pPr>
        <w:spacing w:after="0" w:line="240" w:lineRule="auto"/>
        <w:ind w:firstLine="502"/>
        <w:jc w:val="both"/>
        <w:rPr>
          <w:rFonts w:ascii="Times New Roman" w:eastAsia="Calibri" w:hAnsi="Times New Roman" w:cs="Times New Roman"/>
          <w:sz w:val="28"/>
          <w:lang w:val="uk-UA"/>
        </w:rPr>
      </w:pPr>
      <w:r w:rsidRPr="00F51C05">
        <w:rPr>
          <w:rFonts w:ascii="Times New Roman" w:eastAsia="Calibri" w:hAnsi="Times New Roman" w:cs="Times New Roman"/>
          <w:sz w:val="28"/>
          <w:lang w:val="uk-UA"/>
        </w:rPr>
        <w:t xml:space="preserve">- моніторингова група </w:t>
      </w:r>
      <w:proofErr w:type="spellStart"/>
      <w:r w:rsidRPr="00F51C05">
        <w:rPr>
          <w:rFonts w:ascii="Times New Roman" w:eastAsia="Calibri" w:hAnsi="Times New Roman" w:cs="Times New Roman"/>
          <w:sz w:val="28"/>
          <w:lang w:val="uk-UA"/>
        </w:rPr>
        <w:t>співставляє</w:t>
      </w:r>
      <w:proofErr w:type="spellEnd"/>
      <w:r w:rsidRPr="00F51C05">
        <w:rPr>
          <w:rFonts w:ascii="Times New Roman" w:eastAsia="Calibri" w:hAnsi="Times New Roman" w:cs="Times New Roman"/>
          <w:sz w:val="28"/>
          <w:lang w:val="uk-UA"/>
        </w:rPr>
        <w:t xml:space="preserve"> цільові значення параметрів моніторингу до фактичних значень під час здійснення моніторингу. </w:t>
      </w:r>
      <w:r w:rsidRPr="00F51C05">
        <w:rPr>
          <w:rFonts w:ascii="Times New Roman" w:eastAsia="Calibri" w:hAnsi="Times New Roman" w:cs="Times New Roman"/>
          <w:i/>
          <w:iCs/>
          <w:sz w:val="28"/>
          <w:lang w:val="uk-UA"/>
        </w:rPr>
        <w:t>Строк виконання:</w:t>
      </w:r>
      <w:r w:rsidRPr="00F51C05">
        <w:rPr>
          <w:rFonts w:ascii="Times New Roman" w:eastAsia="Calibri" w:hAnsi="Times New Roman" w:cs="Times New Roman"/>
          <w:sz w:val="28"/>
          <w:lang w:val="uk-UA"/>
        </w:rPr>
        <w:t xml:space="preserve"> один раз на рік протягом строку дії документа державного планування та через рік після закінчення такого строку;</w:t>
      </w:r>
    </w:p>
    <w:p w:rsidR="00F51C05" w:rsidRPr="00F51C05" w:rsidRDefault="00F51C05" w:rsidP="00F51C05">
      <w:pPr>
        <w:spacing w:after="0" w:line="240" w:lineRule="auto"/>
        <w:ind w:firstLine="502"/>
        <w:jc w:val="both"/>
        <w:rPr>
          <w:rFonts w:ascii="Times New Roman" w:eastAsia="Calibri" w:hAnsi="Times New Roman" w:cs="Times New Roman"/>
          <w:sz w:val="28"/>
          <w:lang w:val="uk-UA"/>
        </w:rPr>
      </w:pPr>
      <w:r w:rsidRPr="00F51C05">
        <w:rPr>
          <w:rFonts w:ascii="Times New Roman" w:eastAsia="Calibri" w:hAnsi="Times New Roman" w:cs="Times New Roman"/>
          <w:sz w:val="28"/>
          <w:lang w:val="uk-UA"/>
        </w:rPr>
        <w:t xml:space="preserve">- замовник результати моніторингу оприлюднює на власному офіційному веб-сайті один раз на рік протягом строку дії документа державного планування та через рік після закінчення такого строку. </w:t>
      </w:r>
    </w:p>
    <w:p w:rsidR="00F51C05" w:rsidRPr="00F51C05" w:rsidRDefault="00F51C05" w:rsidP="00F51C05">
      <w:pPr>
        <w:spacing w:after="160" w:line="240" w:lineRule="auto"/>
        <w:ind w:firstLine="502"/>
        <w:jc w:val="both"/>
        <w:rPr>
          <w:rFonts w:ascii="Times New Roman" w:eastAsia="Calibri" w:hAnsi="Times New Roman" w:cs="Times New Roman"/>
          <w:b/>
          <w:bCs/>
          <w:i/>
          <w:iCs/>
          <w:sz w:val="28"/>
          <w:lang w:val="uk-UA"/>
        </w:rPr>
      </w:pPr>
    </w:p>
    <w:p w:rsidR="00F51C05" w:rsidRPr="00F51C05" w:rsidRDefault="00F51C05" w:rsidP="00F51C05">
      <w:pPr>
        <w:spacing w:after="160" w:line="240" w:lineRule="auto"/>
        <w:ind w:firstLine="502"/>
        <w:jc w:val="both"/>
        <w:rPr>
          <w:rFonts w:ascii="Times New Roman" w:eastAsia="Calibri" w:hAnsi="Times New Roman" w:cs="Times New Roman"/>
          <w:sz w:val="28"/>
          <w:szCs w:val="28"/>
          <w:lang w:val="uk-UA"/>
        </w:rPr>
      </w:pPr>
      <w:r w:rsidRPr="00F51C05">
        <w:rPr>
          <w:rFonts w:ascii="Times New Roman" w:eastAsia="Calibri" w:hAnsi="Times New Roman" w:cs="Times New Roman"/>
          <w:b/>
          <w:bCs/>
          <w:i/>
          <w:iCs/>
          <w:sz w:val="28"/>
          <w:lang w:val="uk-UA"/>
        </w:rPr>
        <w:t>2. Кількісні та якісні показники, одиниці їх вимірювання та цільові значення таких показників відповідно до кожного з визначених у звіті про стратегічну екологічну оцінку наслідків виконання документа державного планування для довкілля, у тому числі для здоров’я населення, а також періодичність вимірювання показників, проведення їх аналізу та співставлення із цільовими значеннями</w:t>
      </w:r>
      <w:r w:rsidRPr="00F51C05">
        <w:rPr>
          <w:rFonts w:ascii="Times New Roman" w:eastAsia="Calibri" w:hAnsi="Times New Roman" w:cs="Times New Roman"/>
          <w:sz w:val="28"/>
          <w:lang w:val="uk-UA"/>
        </w:rPr>
        <w:t xml:space="preserve"> наведено в таблиці 1</w:t>
      </w:r>
    </w:p>
    <w:p w:rsidR="00F51C05" w:rsidRPr="00F51C05" w:rsidRDefault="00F51C05" w:rsidP="00F51C05">
      <w:pPr>
        <w:spacing w:after="160" w:line="240" w:lineRule="auto"/>
        <w:jc w:val="both"/>
        <w:rPr>
          <w:rFonts w:ascii="Times New Roman" w:eastAsia="Calibri" w:hAnsi="Times New Roman" w:cs="Times New Roman"/>
          <w:b/>
          <w:bCs/>
          <w:sz w:val="28"/>
          <w:szCs w:val="28"/>
          <w:lang w:val="uk-UA"/>
        </w:rPr>
      </w:pPr>
    </w:p>
    <w:p w:rsidR="00F51C05" w:rsidRPr="00F51C05" w:rsidRDefault="00F51C05" w:rsidP="00F51C05">
      <w:pPr>
        <w:spacing w:after="160" w:line="240" w:lineRule="auto"/>
        <w:ind w:firstLine="851"/>
        <w:jc w:val="both"/>
        <w:rPr>
          <w:rFonts w:ascii="Times New Roman" w:eastAsia="Calibri" w:hAnsi="Times New Roman" w:cs="Times New Roman"/>
          <w:sz w:val="28"/>
          <w:szCs w:val="28"/>
          <w:lang w:val="uk-UA"/>
        </w:rPr>
      </w:pPr>
    </w:p>
    <w:p w:rsidR="00F51C05" w:rsidRPr="00F51C05" w:rsidRDefault="00F51C05" w:rsidP="00F51C05">
      <w:pPr>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sectPr w:rsidR="00F51C05" w:rsidRPr="00F51C05" w:rsidSect="00A13B9D">
          <w:pgSz w:w="11906" w:h="16838"/>
          <w:pgMar w:top="426" w:right="850" w:bottom="850" w:left="1417" w:header="708" w:footer="708" w:gutter="0"/>
          <w:cols w:space="708"/>
          <w:docGrid w:linePitch="360"/>
        </w:sectPr>
      </w:pPr>
    </w:p>
    <w:p w:rsidR="00F51C05" w:rsidRPr="00F51C05" w:rsidRDefault="00F51C05" w:rsidP="00F51C05">
      <w:pPr>
        <w:autoSpaceDE w:val="0"/>
        <w:autoSpaceDN w:val="0"/>
        <w:adjustRightInd w:val="0"/>
        <w:spacing w:after="160" w:line="240" w:lineRule="auto"/>
        <w:ind w:firstLine="708"/>
        <w:jc w:val="right"/>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lastRenderedPageBreak/>
        <w:t>Таблиця1</w:t>
      </w:r>
    </w:p>
    <w:tbl>
      <w:tblPr>
        <w:tblStyle w:val="a3"/>
        <w:tblW w:w="15304" w:type="dxa"/>
        <w:tblLook w:val="04A0" w:firstRow="1" w:lastRow="0" w:firstColumn="1" w:lastColumn="0" w:noHBand="0" w:noVBand="1"/>
      </w:tblPr>
      <w:tblGrid>
        <w:gridCol w:w="690"/>
        <w:gridCol w:w="2424"/>
        <w:gridCol w:w="3827"/>
        <w:gridCol w:w="2835"/>
        <w:gridCol w:w="2496"/>
        <w:gridCol w:w="3032"/>
      </w:tblGrid>
      <w:tr w:rsidR="00F51C05" w:rsidRPr="00F51C05" w:rsidTr="004C3C20">
        <w:tc>
          <w:tcPr>
            <w:tcW w:w="690" w:type="dxa"/>
          </w:tcPr>
          <w:p w:rsidR="00F51C05" w:rsidRPr="00F51C05" w:rsidRDefault="00F51C05" w:rsidP="00F51C05">
            <w:pPr>
              <w:autoSpaceDE w:val="0"/>
              <w:autoSpaceDN w:val="0"/>
              <w:adjustRightInd w:val="0"/>
              <w:jc w:val="center"/>
              <w:rPr>
                <w:rFonts w:ascii="Times New Roman" w:eastAsia="Calibri" w:hAnsi="Times New Roman" w:cs="Times New Roman"/>
                <w:b/>
                <w:bCs/>
                <w:sz w:val="24"/>
                <w:szCs w:val="24"/>
              </w:rPr>
            </w:pPr>
            <w:r w:rsidRPr="00F51C05">
              <w:rPr>
                <w:rFonts w:ascii="Times New Roman" w:eastAsia="Calibri" w:hAnsi="Times New Roman" w:cs="Times New Roman"/>
                <w:b/>
                <w:bCs/>
                <w:sz w:val="24"/>
                <w:szCs w:val="24"/>
              </w:rPr>
              <w:t>№ з/п</w:t>
            </w:r>
          </w:p>
        </w:tc>
        <w:tc>
          <w:tcPr>
            <w:tcW w:w="2424" w:type="dxa"/>
          </w:tcPr>
          <w:p w:rsidR="00F51C05" w:rsidRPr="00F51C05" w:rsidRDefault="00F51C05" w:rsidP="00F51C05">
            <w:pPr>
              <w:autoSpaceDE w:val="0"/>
              <w:autoSpaceDN w:val="0"/>
              <w:adjustRightInd w:val="0"/>
              <w:jc w:val="center"/>
              <w:rPr>
                <w:rFonts w:ascii="Times New Roman" w:eastAsia="Calibri" w:hAnsi="Times New Roman" w:cs="Times New Roman"/>
                <w:b/>
                <w:bCs/>
                <w:sz w:val="24"/>
                <w:szCs w:val="24"/>
              </w:rPr>
            </w:pPr>
            <w:r w:rsidRPr="00F51C05">
              <w:rPr>
                <w:rFonts w:ascii="Times New Roman" w:eastAsia="Calibri" w:hAnsi="Times New Roman" w:cs="Times New Roman"/>
                <w:b/>
                <w:bCs/>
                <w:sz w:val="24"/>
                <w:szCs w:val="24"/>
              </w:rPr>
              <w:t>Об’єкт моніторингу</w:t>
            </w:r>
          </w:p>
        </w:tc>
        <w:tc>
          <w:tcPr>
            <w:tcW w:w="3827" w:type="dxa"/>
          </w:tcPr>
          <w:p w:rsidR="00F51C05" w:rsidRPr="00F51C05" w:rsidRDefault="00F51C05" w:rsidP="00F51C05">
            <w:pPr>
              <w:autoSpaceDE w:val="0"/>
              <w:autoSpaceDN w:val="0"/>
              <w:adjustRightInd w:val="0"/>
              <w:jc w:val="center"/>
              <w:rPr>
                <w:rFonts w:ascii="Times New Roman" w:eastAsia="Calibri" w:hAnsi="Times New Roman" w:cs="Times New Roman"/>
                <w:b/>
                <w:bCs/>
                <w:sz w:val="24"/>
                <w:szCs w:val="24"/>
              </w:rPr>
            </w:pPr>
            <w:r w:rsidRPr="00F51C05">
              <w:rPr>
                <w:rFonts w:ascii="Times New Roman" w:eastAsia="Calibri" w:hAnsi="Times New Roman" w:cs="Times New Roman"/>
                <w:b/>
                <w:bCs/>
                <w:sz w:val="24"/>
                <w:szCs w:val="24"/>
              </w:rPr>
              <w:t>Параметр, що підлягає моніторингу</w:t>
            </w:r>
          </w:p>
        </w:tc>
        <w:tc>
          <w:tcPr>
            <w:tcW w:w="2835" w:type="dxa"/>
          </w:tcPr>
          <w:p w:rsidR="00F51C05" w:rsidRPr="00F51C05" w:rsidRDefault="00F51C05" w:rsidP="00F51C05">
            <w:pPr>
              <w:autoSpaceDE w:val="0"/>
              <w:autoSpaceDN w:val="0"/>
              <w:adjustRightInd w:val="0"/>
              <w:jc w:val="center"/>
              <w:rPr>
                <w:rFonts w:ascii="Times New Roman" w:eastAsia="Calibri" w:hAnsi="Times New Roman" w:cs="Times New Roman"/>
                <w:b/>
                <w:bCs/>
                <w:sz w:val="24"/>
                <w:szCs w:val="24"/>
              </w:rPr>
            </w:pPr>
            <w:r w:rsidRPr="00F51C05">
              <w:rPr>
                <w:rFonts w:ascii="Times New Roman" w:eastAsia="Calibri" w:hAnsi="Times New Roman" w:cs="Times New Roman"/>
                <w:b/>
                <w:bCs/>
                <w:sz w:val="24"/>
                <w:szCs w:val="24"/>
              </w:rPr>
              <w:t>Періодичність</w:t>
            </w:r>
          </w:p>
        </w:tc>
        <w:tc>
          <w:tcPr>
            <w:tcW w:w="2496" w:type="dxa"/>
          </w:tcPr>
          <w:p w:rsidR="00F51C05" w:rsidRPr="00F51C05" w:rsidRDefault="00F51C05" w:rsidP="00F51C05">
            <w:pPr>
              <w:autoSpaceDE w:val="0"/>
              <w:autoSpaceDN w:val="0"/>
              <w:adjustRightInd w:val="0"/>
              <w:jc w:val="center"/>
              <w:rPr>
                <w:rFonts w:ascii="Times New Roman" w:eastAsia="Calibri" w:hAnsi="Times New Roman" w:cs="Times New Roman"/>
                <w:b/>
                <w:bCs/>
                <w:sz w:val="24"/>
                <w:szCs w:val="24"/>
              </w:rPr>
            </w:pPr>
            <w:r w:rsidRPr="00F51C05">
              <w:rPr>
                <w:rFonts w:ascii="Times New Roman" w:eastAsia="Calibri" w:hAnsi="Times New Roman" w:cs="Times New Roman"/>
                <w:b/>
                <w:bCs/>
                <w:sz w:val="24"/>
                <w:szCs w:val="24"/>
              </w:rPr>
              <w:t xml:space="preserve"> Значення параметрів моніторингу на момент затвердження ДДП </w:t>
            </w:r>
          </w:p>
        </w:tc>
        <w:tc>
          <w:tcPr>
            <w:tcW w:w="3032" w:type="dxa"/>
          </w:tcPr>
          <w:p w:rsidR="00F51C05" w:rsidRPr="00F51C05" w:rsidRDefault="00F51C05" w:rsidP="00F51C05">
            <w:pPr>
              <w:autoSpaceDE w:val="0"/>
              <w:autoSpaceDN w:val="0"/>
              <w:adjustRightInd w:val="0"/>
              <w:jc w:val="center"/>
              <w:rPr>
                <w:rFonts w:ascii="Times New Roman" w:eastAsia="Calibri" w:hAnsi="Times New Roman" w:cs="Times New Roman"/>
                <w:b/>
                <w:bCs/>
                <w:sz w:val="24"/>
                <w:szCs w:val="24"/>
              </w:rPr>
            </w:pPr>
            <w:r w:rsidRPr="00F51C05">
              <w:rPr>
                <w:rFonts w:ascii="Times New Roman" w:eastAsia="Calibri" w:hAnsi="Times New Roman" w:cs="Times New Roman"/>
                <w:b/>
                <w:bCs/>
                <w:sz w:val="24"/>
                <w:szCs w:val="24"/>
              </w:rPr>
              <w:t>Суб’єкт моніторингу</w:t>
            </w:r>
          </w:p>
          <w:p w:rsidR="00F51C05" w:rsidRPr="00F51C05" w:rsidRDefault="00F51C05" w:rsidP="00F51C05">
            <w:pPr>
              <w:autoSpaceDE w:val="0"/>
              <w:autoSpaceDN w:val="0"/>
              <w:adjustRightInd w:val="0"/>
              <w:jc w:val="center"/>
              <w:rPr>
                <w:rFonts w:ascii="Times New Roman" w:eastAsia="Calibri" w:hAnsi="Times New Roman" w:cs="Times New Roman"/>
                <w:b/>
                <w:bCs/>
                <w:sz w:val="24"/>
                <w:szCs w:val="24"/>
              </w:rPr>
            </w:pPr>
          </w:p>
        </w:tc>
      </w:tr>
      <w:tr w:rsidR="00F51C05" w:rsidRPr="00F51C05" w:rsidTr="004C3C20">
        <w:tc>
          <w:tcPr>
            <w:tcW w:w="690" w:type="dxa"/>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1</w:t>
            </w:r>
          </w:p>
        </w:tc>
        <w:tc>
          <w:tcPr>
            <w:tcW w:w="2424"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Земельні ресурси</w:t>
            </w:r>
          </w:p>
        </w:tc>
        <w:tc>
          <w:tcPr>
            <w:tcW w:w="3827"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Контроль за використанням земельної ділянки за функціональним призначенням, вказаним містобудівною документацією</w:t>
            </w:r>
          </w:p>
        </w:tc>
        <w:tc>
          <w:tcPr>
            <w:tcW w:w="2835"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 xml:space="preserve">1 раз на рік протягом будівельних робіт та через рік після закінчення </w:t>
            </w:r>
          </w:p>
        </w:tc>
        <w:tc>
          <w:tcPr>
            <w:tcW w:w="2496" w:type="dxa"/>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w:t>
            </w:r>
          </w:p>
        </w:tc>
        <w:tc>
          <w:tcPr>
            <w:tcW w:w="3032"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Виконавчий комітет Великосеверинівської сільської ради/ власник земельної ділянки</w:t>
            </w:r>
          </w:p>
        </w:tc>
      </w:tr>
      <w:tr w:rsidR="00F51C05" w:rsidRPr="00F51C05" w:rsidTr="004C3C20">
        <w:tc>
          <w:tcPr>
            <w:tcW w:w="690" w:type="dxa"/>
            <w:vMerge w:val="restart"/>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2</w:t>
            </w:r>
          </w:p>
        </w:tc>
        <w:tc>
          <w:tcPr>
            <w:tcW w:w="2424" w:type="dxa"/>
            <w:vMerge w:val="restart"/>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Тверді побутові відходи</w:t>
            </w:r>
          </w:p>
        </w:tc>
        <w:tc>
          <w:tcPr>
            <w:tcW w:w="3827"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Утворення відходів (загальний обсяг, кількість кг/тон/рік)</w:t>
            </w:r>
          </w:p>
        </w:tc>
        <w:tc>
          <w:tcPr>
            <w:tcW w:w="2835" w:type="dxa"/>
            <w:vMerge w:val="restart"/>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1 раз на рік протягом будівельних робіт та експлуатації об’єкта</w:t>
            </w:r>
          </w:p>
        </w:tc>
        <w:tc>
          <w:tcPr>
            <w:tcW w:w="2496" w:type="dxa"/>
            <w:vMerge w:val="restart"/>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w:t>
            </w:r>
          </w:p>
        </w:tc>
        <w:tc>
          <w:tcPr>
            <w:tcW w:w="3032" w:type="dxa"/>
            <w:vMerge w:val="restart"/>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Виконавчий комітет Великосеверинівської сільської ради/власник земельної ділянки</w:t>
            </w:r>
          </w:p>
        </w:tc>
      </w:tr>
      <w:tr w:rsidR="00F51C05" w:rsidRPr="00F51C05" w:rsidTr="004C3C20">
        <w:tc>
          <w:tcPr>
            <w:tcW w:w="690" w:type="dxa"/>
            <w:vMerge/>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p>
        </w:tc>
        <w:tc>
          <w:tcPr>
            <w:tcW w:w="2424" w:type="dxa"/>
            <w:vMerge/>
          </w:tcPr>
          <w:p w:rsidR="00F51C05" w:rsidRPr="00F51C05" w:rsidRDefault="00F51C05" w:rsidP="00F51C05">
            <w:pPr>
              <w:autoSpaceDE w:val="0"/>
              <w:autoSpaceDN w:val="0"/>
              <w:adjustRightInd w:val="0"/>
              <w:rPr>
                <w:rFonts w:ascii="Times New Roman" w:eastAsia="Calibri" w:hAnsi="Times New Roman" w:cs="Times New Roman"/>
                <w:sz w:val="28"/>
                <w:szCs w:val="28"/>
              </w:rPr>
            </w:pPr>
          </w:p>
        </w:tc>
        <w:tc>
          <w:tcPr>
            <w:tcW w:w="3827"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Контроль за своєчасною передачею відходів суб’єкту господарювання у сфері управління відходами</w:t>
            </w:r>
          </w:p>
        </w:tc>
        <w:tc>
          <w:tcPr>
            <w:tcW w:w="2835" w:type="dxa"/>
            <w:vMerge/>
          </w:tcPr>
          <w:p w:rsidR="00F51C05" w:rsidRPr="00F51C05" w:rsidRDefault="00F51C05" w:rsidP="00F51C05">
            <w:pPr>
              <w:autoSpaceDE w:val="0"/>
              <w:autoSpaceDN w:val="0"/>
              <w:adjustRightInd w:val="0"/>
              <w:rPr>
                <w:rFonts w:ascii="Times New Roman" w:eastAsia="Calibri" w:hAnsi="Times New Roman" w:cs="Times New Roman"/>
                <w:sz w:val="28"/>
                <w:szCs w:val="28"/>
              </w:rPr>
            </w:pPr>
          </w:p>
        </w:tc>
        <w:tc>
          <w:tcPr>
            <w:tcW w:w="2496" w:type="dxa"/>
            <w:vMerge/>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p>
        </w:tc>
        <w:tc>
          <w:tcPr>
            <w:tcW w:w="3032" w:type="dxa"/>
            <w:vMerge/>
          </w:tcPr>
          <w:p w:rsidR="00F51C05" w:rsidRPr="00F51C05" w:rsidRDefault="00F51C05" w:rsidP="00F51C05">
            <w:pPr>
              <w:autoSpaceDE w:val="0"/>
              <w:autoSpaceDN w:val="0"/>
              <w:adjustRightInd w:val="0"/>
              <w:rPr>
                <w:rFonts w:ascii="Times New Roman" w:eastAsia="Calibri" w:hAnsi="Times New Roman" w:cs="Times New Roman"/>
                <w:sz w:val="28"/>
                <w:szCs w:val="28"/>
              </w:rPr>
            </w:pPr>
          </w:p>
        </w:tc>
      </w:tr>
      <w:tr w:rsidR="00F51C05" w:rsidRPr="00F51C05" w:rsidTr="004C3C20">
        <w:tc>
          <w:tcPr>
            <w:tcW w:w="690" w:type="dxa"/>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3</w:t>
            </w:r>
          </w:p>
        </w:tc>
        <w:tc>
          <w:tcPr>
            <w:tcW w:w="2424"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 xml:space="preserve">Водні ресурси </w:t>
            </w:r>
          </w:p>
        </w:tc>
        <w:tc>
          <w:tcPr>
            <w:tcW w:w="3827"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 xml:space="preserve">Якість питної води: за фізико-хімічними показниками та за бактеріологічними показниками </w:t>
            </w:r>
          </w:p>
        </w:tc>
        <w:tc>
          <w:tcPr>
            <w:tcW w:w="2835"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1 раз на рік</w:t>
            </w:r>
          </w:p>
        </w:tc>
        <w:tc>
          <w:tcPr>
            <w:tcW w:w="2496" w:type="dxa"/>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w:t>
            </w:r>
          </w:p>
        </w:tc>
        <w:tc>
          <w:tcPr>
            <w:tcW w:w="3032"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Виконавчий комітет Великосеверинівської сільської ради/власник земельної ділянки</w:t>
            </w:r>
          </w:p>
        </w:tc>
      </w:tr>
      <w:tr w:rsidR="00F51C05" w:rsidRPr="00F51C05" w:rsidTr="004C3C20">
        <w:tc>
          <w:tcPr>
            <w:tcW w:w="690" w:type="dxa"/>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4</w:t>
            </w:r>
          </w:p>
        </w:tc>
        <w:tc>
          <w:tcPr>
            <w:tcW w:w="2424"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Система каналізаційної мережі</w:t>
            </w:r>
          </w:p>
        </w:tc>
        <w:tc>
          <w:tcPr>
            <w:tcW w:w="3827"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 xml:space="preserve">Контроль за викидами </w:t>
            </w:r>
          </w:p>
        </w:tc>
        <w:tc>
          <w:tcPr>
            <w:tcW w:w="2835"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1 раз на рік</w:t>
            </w:r>
          </w:p>
        </w:tc>
        <w:tc>
          <w:tcPr>
            <w:tcW w:w="2496" w:type="dxa"/>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w:t>
            </w:r>
          </w:p>
        </w:tc>
        <w:tc>
          <w:tcPr>
            <w:tcW w:w="3032"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Виконавчий комітет Великосеверинівської сільської ради/власник земельної ділянки</w:t>
            </w:r>
          </w:p>
        </w:tc>
      </w:tr>
      <w:tr w:rsidR="00F51C05" w:rsidRPr="00F51C05" w:rsidTr="004C3C20">
        <w:tc>
          <w:tcPr>
            <w:tcW w:w="690" w:type="dxa"/>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5</w:t>
            </w:r>
          </w:p>
        </w:tc>
        <w:tc>
          <w:tcPr>
            <w:tcW w:w="2424"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Атмосферне повітря</w:t>
            </w:r>
          </w:p>
        </w:tc>
        <w:tc>
          <w:tcPr>
            <w:tcW w:w="3827"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Вміст забруднюючих речовин в  повітрі (за основними забруднюючими речовинами)</w:t>
            </w:r>
          </w:p>
        </w:tc>
        <w:tc>
          <w:tcPr>
            <w:tcW w:w="2835"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1 раз на рік</w:t>
            </w:r>
          </w:p>
        </w:tc>
        <w:tc>
          <w:tcPr>
            <w:tcW w:w="2496" w:type="dxa"/>
          </w:tcPr>
          <w:p w:rsidR="00F51C05" w:rsidRPr="00F51C05" w:rsidRDefault="00F51C05" w:rsidP="00F51C05">
            <w:pPr>
              <w:autoSpaceDE w:val="0"/>
              <w:autoSpaceDN w:val="0"/>
              <w:adjustRightInd w:val="0"/>
              <w:jc w:val="center"/>
              <w:rPr>
                <w:rFonts w:ascii="Times New Roman" w:eastAsia="Calibri" w:hAnsi="Times New Roman" w:cs="Times New Roman"/>
                <w:sz w:val="28"/>
                <w:szCs w:val="28"/>
              </w:rPr>
            </w:pPr>
            <w:r w:rsidRPr="00F51C05">
              <w:rPr>
                <w:rFonts w:ascii="Times New Roman" w:eastAsia="Calibri" w:hAnsi="Times New Roman" w:cs="Times New Roman"/>
                <w:sz w:val="28"/>
                <w:szCs w:val="28"/>
              </w:rPr>
              <w:t>---</w:t>
            </w:r>
          </w:p>
        </w:tc>
        <w:tc>
          <w:tcPr>
            <w:tcW w:w="3032" w:type="dxa"/>
          </w:tcPr>
          <w:p w:rsidR="00F51C05" w:rsidRPr="00F51C05" w:rsidRDefault="00F51C05" w:rsidP="00F51C05">
            <w:pPr>
              <w:autoSpaceDE w:val="0"/>
              <w:autoSpaceDN w:val="0"/>
              <w:adjustRightInd w:val="0"/>
              <w:rPr>
                <w:rFonts w:ascii="Times New Roman" w:eastAsia="Calibri" w:hAnsi="Times New Roman" w:cs="Times New Roman"/>
                <w:sz w:val="28"/>
                <w:szCs w:val="28"/>
              </w:rPr>
            </w:pPr>
            <w:r w:rsidRPr="00F51C05">
              <w:rPr>
                <w:rFonts w:ascii="Times New Roman" w:eastAsia="Calibri" w:hAnsi="Times New Roman" w:cs="Times New Roman"/>
                <w:sz w:val="28"/>
                <w:szCs w:val="28"/>
              </w:rPr>
              <w:t>Виконавчий комітет Великосеверинівської сільської ради/власник земельної ділянки</w:t>
            </w:r>
          </w:p>
        </w:tc>
      </w:tr>
    </w:tbl>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sectPr w:rsidR="00F51C05" w:rsidRPr="00F51C05" w:rsidSect="004C4589">
          <w:pgSz w:w="16838" w:h="11906" w:orient="landscape"/>
          <w:pgMar w:top="851" w:right="851" w:bottom="851" w:left="851" w:header="709" w:footer="709" w:gutter="0"/>
          <w:cols w:space="708"/>
          <w:docGrid w:linePitch="360"/>
        </w:sect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b/>
          <w:bCs/>
          <w:i/>
          <w:iCs/>
          <w:sz w:val="28"/>
          <w:szCs w:val="28"/>
          <w:lang w:val="uk-UA"/>
        </w:rPr>
      </w:pPr>
      <w:r w:rsidRPr="00F51C05">
        <w:rPr>
          <w:rFonts w:ascii="Times New Roman" w:eastAsia="Calibri" w:hAnsi="Times New Roman" w:cs="Times New Roman"/>
          <w:b/>
          <w:bCs/>
          <w:i/>
          <w:iCs/>
          <w:sz w:val="28"/>
          <w:szCs w:val="28"/>
          <w:lang w:val="uk-UA"/>
        </w:rPr>
        <w:lastRenderedPageBreak/>
        <w:t>Методи визначення кожного із показників, які дають змогу швидко та без надлишкових витрат їх вимірювати:</w:t>
      </w: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lang w:val="uk-UA"/>
        </w:rPr>
      </w:pPr>
      <w:r w:rsidRPr="00F51C05">
        <w:rPr>
          <w:rFonts w:ascii="Times New Roman" w:eastAsia="Calibri" w:hAnsi="Times New Roman" w:cs="Times New Roman"/>
          <w:sz w:val="28"/>
          <w:lang w:val="uk-UA"/>
        </w:rPr>
        <w:t xml:space="preserve">- для визначення показників утворення відходів (загальний обсяг, охоплення виробничого комплексу послугами із збирання та перевезення побутових відходів) передбачено проводити облік відповідно до Договору про надання послуг з поводження з побутовими відходами. Відповідно п. 1.5. Методичних рекомендацій з організації збирання, перевезення, перероблення та утилізації побутових відходів (Затверджено Наказ Міністерства з питань житлово-комунального господарства України 07.06.2010 № 176) порядок поводження з ПВ у населеному пункті визначається затвердженими органом місцевого самоврядування Правилами благоустрою, Схемою санітарної очистки та місцевими програмами поводження з ПВ; </w:t>
      </w: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lang w:val="uk-UA"/>
        </w:rPr>
      </w:pPr>
      <w:r w:rsidRPr="00F51C05">
        <w:rPr>
          <w:rFonts w:ascii="Times New Roman" w:eastAsia="Calibri" w:hAnsi="Times New Roman" w:cs="Times New Roman"/>
          <w:sz w:val="28"/>
          <w:lang w:val="uk-UA"/>
        </w:rPr>
        <w:t>- для моніторингу рівня забруднення атмосферного повітря – Порядок здійснення державного моніторингу в галузі охорони атмосферного повітря (Затверджено постановою Кабінету Міністрів України від 14 серпня 2019 року № 827). Відповідно до п. 7 Порядку, суб’єкти моніторингу атмосферного повітря встановлюють пункти спостережень, ведуть спостереження за рівнем забруднювальних речовин та вмістом складових та/або показників атмосферних опадів, проводять аналіз і прогнозування стану атмосферного повітря та оцінювання його якості з дотриманням законодавства про охорону атмосферного повітря, єдиних методичних вимог у сфері державного моніторингу у галузі охорони атмосферного повітря, а також вимог Закону України «Про метрологію та метрологічну діяльність»;</w:t>
      </w: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lang w:val="uk-UA"/>
        </w:rPr>
      </w:pPr>
      <w:r w:rsidRPr="00F51C05">
        <w:rPr>
          <w:rFonts w:ascii="Times New Roman" w:eastAsia="Calibri" w:hAnsi="Times New Roman" w:cs="Times New Roman"/>
          <w:sz w:val="28"/>
          <w:lang w:val="uk-UA"/>
        </w:rPr>
        <w:t>- для визначення якості питної води (</w:t>
      </w:r>
      <w:r w:rsidRPr="00F51C05">
        <w:rPr>
          <w:rFonts w:ascii="Times New Roman" w:eastAsia="Calibri" w:hAnsi="Times New Roman" w:cs="Times New Roman"/>
          <w:sz w:val="28"/>
          <w:szCs w:val="28"/>
          <w:lang w:val="uk-UA"/>
        </w:rPr>
        <w:t>за фізико-хімічними показниками та за бактеріологічними показниками</w:t>
      </w:r>
      <w:r w:rsidRPr="00F51C05">
        <w:rPr>
          <w:rFonts w:ascii="Times New Roman" w:eastAsia="Calibri" w:hAnsi="Times New Roman" w:cs="Times New Roman"/>
          <w:sz w:val="28"/>
          <w:lang w:val="uk-UA"/>
        </w:rPr>
        <w:t xml:space="preserve">) - </w:t>
      </w:r>
      <w:proofErr w:type="spellStart"/>
      <w:r w:rsidRPr="00F51C05">
        <w:rPr>
          <w:rFonts w:ascii="Times New Roman" w:eastAsia="Calibri" w:hAnsi="Times New Roman" w:cs="Times New Roman"/>
          <w:sz w:val="28"/>
          <w:lang w:val="uk-UA"/>
        </w:rPr>
        <w:t>ДСанПІН</w:t>
      </w:r>
      <w:proofErr w:type="spellEnd"/>
      <w:r w:rsidRPr="00F51C05">
        <w:rPr>
          <w:rFonts w:ascii="Times New Roman" w:eastAsia="Calibri" w:hAnsi="Times New Roman" w:cs="Times New Roman"/>
          <w:sz w:val="28"/>
          <w:lang w:val="uk-UA"/>
        </w:rPr>
        <w:t xml:space="preserve"> 2.2.4-171-10 (Затверджено Наказом Міністерства охорони здоров’я України 12.05.2010 №400);</w:t>
      </w: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lang w:val="uk-UA"/>
        </w:rPr>
      </w:pPr>
      <w:r w:rsidRPr="00F51C05">
        <w:rPr>
          <w:rFonts w:ascii="Times New Roman" w:eastAsia="Calibri" w:hAnsi="Times New Roman" w:cs="Times New Roman"/>
          <w:sz w:val="28"/>
          <w:lang w:val="uk-UA"/>
        </w:rPr>
        <w:t>- рівень забезпечення водопостачанням та каналізацією передбачено визначати обліковим методом.</w:t>
      </w: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b/>
          <w:bCs/>
          <w:i/>
          <w:iCs/>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b/>
          <w:bCs/>
          <w:i/>
          <w:iCs/>
          <w:sz w:val="28"/>
          <w:szCs w:val="28"/>
          <w:lang w:val="uk-UA"/>
        </w:rPr>
      </w:pPr>
      <w:r w:rsidRPr="00F51C05">
        <w:rPr>
          <w:rFonts w:ascii="Times New Roman" w:eastAsia="Calibri" w:hAnsi="Times New Roman" w:cs="Times New Roman"/>
          <w:b/>
          <w:bCs/>
          <w:i/>
          <w:iCs/>
          <w:sz w:val="28"/>
          <w:szCs w:val="28"/>
          <w:lang w:val="uk-UA"/>
        </w:rPr>
        <w:t>Способи виявлення наявності або відсутності наслідків для довкілля, у тому числі для здоров’я населення, з урахуванням можливості виявлення негативних наслідків виконання документа державного планування, не передбачених звітом про СЕО:</w:t>
      </w: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xml:space="preserve"> - моніторинг – як інструмент контролю виконання стратегічних напрямів ДДП;</w:t>
      </w: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xml:space="preserve"> - перевірка дотримання екологічних вимог (договір з компанією, що має ліцензію Міністерства екології та природних ресурсів України та надає комплекс послуг в сфері поводження з відходами тощо). </w:t>
      </w: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 xml:space="preserve">У разі коли під час здійснення моніторингу виявлено не передбачені звітом про стратегічну екологічну оцінку негативні наслідки виконання документа державного планування для довкілля, у тому числі для здоров’я населення, власник/користувач, замовник вживає заходів для їх усунення, а також подає органу державної влади або органу місцевого самоврядування, який затвердив документ державного планування, пропозиції щодо внесення змін до такого документа з метою усунення негативних наслідків. У такому разі </w:t>
      </w:r>
      <w:r w:rsidRPr="00F51C05">
        <w:rPr>
          <w:rFonts w:ascii="Times New Roman" w:eastAsia="Calibri" w:hAnsi="Times New Roman" w:cs="Times New Roman"/>
          <w:sz w:val="28"/>
          <w:szCs w:val="28"/>
          <w:lang w:val="uk-UA"/>
        </w:rPr>
        <w:lastRenderedPageBreak/>
        <w:t>зміни, що вносяться до документа державного планування, підлягають стратегічній екологічній оцінці.</w:t>
      </w:r>
    </w:p>
    <w:p w:rsidR="00F51C05" w:rsidRPr="00F51C05" w:rsidRDefault="00F51C05" w:rsidP="00F51C05">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p>
    <w:p w:rsidR="00F51C05" w:rsidRPr="00F51C05" w:rsidRDefault="00F51C05" w:rsidP="00F51C05">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r w:rsidRPr="00F51C05">
        <w:rPr>
          <w:rFonts w:ascii="Times New Roman" w:eastAsia="Calibri" w:hAnsi="Times New Roman" w:cs="Times New Roman"/>
          <w:sz w:val="28"/>
          <w:szCs w:val="28"/>
          <w:lang w:val="uk-UA"/>
        </w:rPr>
        <w:t>_______________________________________________________</w:t>
      </w:r>
    </w:p>
    <w:p w:rsidR="00C519A3" w:rsidRDefault="00C519A3">
      <w:bookmarkStart w:id="0" w:name="_GoBack"/>
      <w:bookmarkEnd w:id="0"/>
    </w:p>
    <w:sectPr w:rsidR="00C519A3" w:rsidSect="004C458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05"/>
    <w:rsid w:val="00C519A3"/>
    <w:rsid w:val="00F51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C0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C0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5322</Words>
  <Characters>3034</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2024-09-10T07:53:00Z</dcterms:created>
  <dcterms:modified xsi:type="dcterms:W3CDTF">2024-09-10T07:53:00Z</dcterms:modified>
</cp:coreProperties>
</file>