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F656C1" w:rsidRDefault="00F656C1" w:rsidP="00F656C1">
      <w:pPr>
        <w:pStyle w:val="st7"/>
        <w:spacing w:before="0" w:after="0"/>
        <w:ind w:left="0" w:right="-142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>
        <w:rPr>
          <w:rStyle w:val="st161"/>
          <w:lang w:val="uk-UA"/>
        </w:rPr>
        <w:t xml:space="preserve"> </w:t>
      </w:r>
      <w:r>
        <w:rPr>
          <w:rStyle w:val="st161"/>
        </w:rPr>
        <w:t xml:space="preserve">у </w:t>
      </w:r>
      <w:proofErr w:type="spellStart"/>
      <w:r>
        <w:rPr>
          <w:rStyle w:val="st161"/>
          <w:lang w:val="uk-UA"/>
        </w:rPr>
        <w:t>Созонівському</w:t>
      </w:r>
      <w:proofErr w:type="spellEnd"/>
      <w:r>
        <w:rPr>
          <w:rStyle w:val="st161"/>
          <w:lang w:val="uk-UA"/>
        </w:rPr>
        <w:t xml:space="preserve"> </w:t>
      </w:r>
      <w:r>
        <w:rPr>
          <w:rStyle w:val="st161"/>
        </w:rPr>
        <w:t xml:space="preserve">сільському будинку культури </w:t>
      </w:r>
      <w:bookmarkStart w:id="0" w:name="_GoBack"/>
      <w:bookmarkEnd w:id="0"/>
      <w:r w:rsidRPr="00101DA3">
        <w:rPr>
          <w:rStyle w:val="st161"/>
        </w:rPr>
        <w:t xml:space="preserve">– </w:t>
      </w:r>
      <w:proofErr w:type="spellStart"/>
      <w:r w:rsidRPr="00101DA3">
        <w:rPr>
          <w:rStyle w:val="st161"/>
        </w:rPr>
        <w:t>філі</w:t>
      </w:r>
      <w:r>
        <w:rPr>
          <w:rStyle w:val="st161"/>
          <w:lang w:val="uk-UA"/>
        </w:rPr>
        <w:t>Ї</w:t>
      </w:r>
      <w:proofErr w:type="spellEnd"/>
      <w:r w:rsidRPr="00101DA3">
        <w:rPr>
          <w:rStyle w:val="st161"/>
        </w:rPr>
        <w:t xml:space="preserve"> </w:t>
      </w:r>
      <w:proofErr w:type="spellStart"/>
      <w:r w:rsidRPr="00101DA3">
        <w:rPr>
          <w:rStyle w:val="st161"/>
        </w:rPr>
        <w:t>Оситнязького</w:t>
      </w:r>
      <w:proofErr w:type="spellEnd"/>
      <w:r w:rsidRPr="00101DA3">
        <w:rPr>
          <w:rStyle w:val="st161"/>
        </w:rPr>
        <w:t xml:space="preserve"> центру</w:t>
      </w:r>
      <w:r>
        <w:rPr>
          <w:rStyle w:val="st161"/>
          <w:lang w:val="uk-UA"/>
        </w:rPr>
        <w:t xml:space="preserve"> </w:t>
      </w:r>
      <w:r w:rsidRPr="00101DA3">
        <w:rPr>
          <w:rStyle w:val="st161"/>
        </w:rPr>
        <w:t>культури і дозвілля Великосеверинівської сільської ради</w:t>
      </w:r>
      <w:r>
        <w:rPr>
          <w:rStyle w:val="st161"/>
        </w:rPr>
        <w:t xml:space="preserve"> та </w:t>
      </w:r>
      <w:proofErr w:type="spellStart"/>
      <w:r>
        <w:rPr>
          <w:rStyle w:val="st161"/>
          <w:lang w:val="uk-UA"/>
        </w:rPr>
        <w:t>Созонівській</w:t>
      </w:r>
      <w:proofErr w:type="spellEnd"/>
      <w:r>
        <w:rPr>
          <w:rStyle w:val="st161"/>
        </w:rPr>
        <w:t xml:space="preserve"> сільській бібліотеці - </w:t>
      </w:r>
      <w:r w:rsidRPr="00101DA3">
        <w:rPr>
          <w:rStyle w:val="st161"/>
        </w:rPr>
        <w:t>філі</w:t>
      </w:r>
      <w:r>
        <w:rPr>
          <w:rStyle w:val="st161"/>
          <w:lang w:val="uk-UA"/>
        </w:rPr>
        <w:t>ї</w:t>
      </w:r>
      <w:r w:rsidRPr="00101DA3">
        <w:rPr>
          <w:rStyle w:val="st161"/>
        </w:rPr>
        <w:t xml:space="preserve"> </w:t>
      </w:r>
      <w:r>
        <w:rPr>
          <w:rStyle w:val="st161"/>
          <w:lang w:val="uk-UA"/>
        </w:rPr>
        <w:t>Великосеверинівської центральної бібліотеки Великосеверинівської сільської ради</w:t>
      </w:r>
      <w:r>
        <w:rPr>
          <w:rStyle w:val="st161"/>
        </w:rPr>
        <w:t xml:space="preserve">, </w:t>
      </w:r>
    </w:p>
    <w:p w:rsidR="008E2EB3" w:rsidRPr="00F656C1" w:rsidRDefault="00F656C1" w:rsidP="00F656C1">
      <w:pPr>
        <w:pStyle w:val="st7"/>
        <w:spacing w:before="0" w:after="0"/>
        <w:ind w:left="0" w:right="-142"/>
        <w:rPr>
          <w:rStyle w:val="st161"/>
          <w:lang w:val="uk-UA"/>
        </w:rPr>
      </w:pPr>
      <w:r>
        <w:rPr>
          <w:rStyle w:val="st161"/>
        </w:rPr>
        <w:t xml:space="preserve">с. </w:t>
      </w:r>
      <w:proofErr w:type="spellStart"/>
      <w:r>
        <w:rPr>
          <w:rStyle w:val="st161"/>
          <w:lang w:val="uk-UA"/>
        </w:rPr>
        <w:t>Созонівка</w:t>
      </w:r>
      <w:proofErr w:type="spellEnd"/>
    </w:p>
    <w:p w:rsidR="00F656C1" w:rsidRPr="00F656C1" w:rsidRDefault="00F656C1" w:rsidP="00F656C1">
      <w:pPr>
        <w:pStyle w:val="st7"/>
        <w:spacing w:before="0" w:after="0"/>
        <w:ind w:left="0" w:right="-142"/>
        <w:rPr>
          <w:rStyle w:val="st161"/>
          <w:lang w:val="uk-UA"/>
        </w:rPr>
      </w:pPr>
    </w:p>
    <w:tbl>
      <w:tblPr>
        <w:tblW w:w="5068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2"/>
        <w:gridCol w:w="16"/>
        <w:gridCol w:w="3351"/>
        <w:gridCol w:w="1284"/>
        <w:gridCol w:w="1194"/>
        <w:gridCol w:w="634"/>
        <w:gridCol w:w="345"/>
        <w:gridCol w:w="41"/>
        <w:gridCol w:w="44"/>
        <w:gridCol w:w="952"/>
        <w:gridCol w:w="227"/>
        <w:gridCol w:w="1327"/>
        <w:gridCol w:w="91"/>
      </w:tblGrid>
      <w:tr w:rsidR="008E2EB3" w:rsidTr="00F656C1">
        <w:trPr>
          <w:gridAfter w:val="1"/>
          <w:wAfter w:w="91" w:type="dxa"/>
          <w:tblCellSpacing w:w="0" w:type="dxa"/>
        </w:trPr>
        <w:tc>
          <w:tcPr>
            <w:tcW w:w="10018" w:type="dxa"/>
            <w:gridSpan w:val="12"/>
            <w:shd w:val="clear" w:color="auto" w:fill="auto"/>
            <w:vAlign w:val="center"/>
          </w:tcPr>
          <w:p w:rsidR="008E2EB3" w:rsidRPr="00D11A43" w:rsidRDefault="004D02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D11A43">
              <w:rPr>
                <w:rStyle w:val="st42"/>
                <w:lang w:val="uk-UA"/>
              </w:rPr>
              <w:t xml:space="preserve"> </w:t>
            </w:r>
            <w:proofErr w:type="spellStart"/>
            <w:r w:rsidR="00D11A43">
              <w:rPr>
                <w:rStyle w:val="st42"/>
                <w:lang w:val="uk-UA"/>
              </w:rPr>
              <w:t>Созонівський</w:t>
            </w:r>
            <w:proofErr w:type="spellEnd"/>
            <w:r w:rsidR="00D11A43">
              <w:rPr>
                <w:rStyle w:val="st42"/>
                <w:lang w:val="uk-UA"/>
              </w:rPr>
              <w:t xml:space="preserve"> сільський будинок культури</w:t>
            </w:r>
            <w:r w:rsidR="004A55B4">
              <w:rPr>
                <w:rStyle w:val="st42"/>
                <w:lang w:val="uk-UA"/>
              </w:rPr>
              <w:t xml:space="preserve"> та бібліотека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8"/>
            <w:shd w:val="clear" w:color="auto" w:fill="auto"/>
          </w:tcPr>
          <w:p w:rsidR="008E2EB3" w:rsidRPr="00651C4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8E2EB3" w:rsidRPr="00D341C8" w:rsidRDefault="00D341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25.09.2024 року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872" w:type="dxa"/>
            <w:gridSpan w:val="7"/>
            <w:shd w:val="clear" w:color="auto" w:fill="auto"/>
          </w:tcPr>
          <w:p w:rsidR="008E2EB3" w:rsidRPr="00651C40" w:rsidRDefault="004D02AA" w:rsidP="00651C4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E2EB3" w:rsidRDefault="00D341C8" w:rsidP="00D341C8">
            <w:pPr>
              <w:pStyle w:val="st14"/>
              <w:rPr>
                <w:rStyle w:val="st42"/>
              </w:rPr>
            </w:pPr>
            <w:r w:rsidRPr="00D341C8">
              <w:rPr>
                <w:rStyle w:val="st42"/>
              </w:rPr>
              <w:t>27602, Кірово</w:t>
            </w:r>
            <w:r>
              <w:rPr>
                <w:rStyle w:val="st42"/>
              </w:rPr>
              <w:t>градська область, Кропивниць</w:t>
            </w:r>
            <w:r>
              <w:rPr>
                <w:rStyle w:val="st42"/>
                <w:lang w:val="uk-UA"/>
              </w:rPr>
              <w:t>-</w:t>
            </w:r>
            <w:proofErr w:type="spellStart"/>
            <w:r>
              <w:rPr>
                <w:rStyle w:val="st42"/>
              </w:rPr>
              <w:t>кий</w:t>
            </w:r>
            <w:proofErr w:type="spellEnd"/>
            <w:r>
              <w:rPr>
                <w:rStyle w:val="st42"/>
              </w:rPr>
              <w:t xml:space="preserve"> район, </w:t>
            </w:r>
            <w:proofErr w:type="spellStart"/>
            <w:r>
              <w:rPr>
                <w:rStyle w:val="st42"/>
              </w:rPr>
              <w:t>с.</w:t>
            </w:r>
            <w:r w:rsidRPr="00D341C8">
              <w:rPr>
                <w:rStyle w:val="st42"/>
              </w:rPr>
              <w:t>Созонівка</w:t>
            </w:r>
            <w:proofErr w:type="spellEnd"/>
            <w:r w:rsidRPr="00D341C8">
              <w:rPr>
                <w:rStyle w:val="st42"/>
              </w:rPr>
              <w:t>, вул. Паркова, 1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8"/>
            <w:shd w:val="clear" w:color="auto" w:fill="auto"/>
          </w:tcPr>
          <w:p w:rsidR="008E2EB3" w:rsidRPr="00D341C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D341C8"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8E2EB3" w:rsidRPr="00D341C8" w:rsidRDefault="00D341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8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8E2EB3" w:rsidRPr="000948DF" w:rsidRDefault="000948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бібліотечні послуги та послуги в галузі культури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8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8E2EB3" w:rsidRPr="00D341C8" w:rsidRDefault="00EC603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Ді</w:t>
            </w:r>
            <w:r w:rsidR="00D341C8">
              <w:rPr>
                <w:rStyle w:val="st42"/>
                <w:lang w:val="uk-UA"/>
              </w:rPr>
              <w:t>гтяр Г. Д.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8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8E2EB3" w:rsidRPr="00D341C8" w:rsidRDefault="00D341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0954756995</w:t>
            </w:r>
          </w:p>
        </w:tc>
      </w:tr>
      <w:tr w:rsidR="008E2EB3" w:rsidTr="00F656C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80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4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Default="008E2EB3" w:rsidP="00D341C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D341C8" w:rsidRDefault="00D341C8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</w:t>
            </w:r>
            <w:r>
              <w:rPr>
                <w:rStyle w:val="st42"/>
              </w:rPr>
              <w:lastRenderedPageBreak/>
              <w:t>символу доступності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D341C8" w:rsidRDefault="00D341C8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D341C8" w:rsidRDefault="00D341C8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D341C8" w:rsidRDefault="00D341C8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ні/так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Default="008E2EB3" w:rsidP="00D341C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так/ні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Default="008E2EB3" w:rsidP="00D341C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</w:t>
            </w:r>
            <w:r>
              <w:rPr>
                <w:rStyle w:val="st42"/>
              </w:rPr>
              <w:lastRenderedPageBreak/>
              <w:t xml:space="preserve">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670C4F" w:rsidRDefault="00670C4F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</w:t>
            </w:r>
            <w:r>
              <w:rPr>
                <w:rStyle w:val="st42"/>
              </w:rPr>
              <w:lastRenderedPageBreak/>
              <w:t>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Default="008E2EB3" w:rsidP="00D341C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8E2EB3" w:rsidRPr="00B06C64" w:rsidRDefault="00B06C64" w:rsidP="00D341C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656C1">
        <w:trPr>
          <w:gridAfter w:val="1"/>
          <w:wAfter w:w="91" w:type="dxa"/>
          <w:trHeight w:val="12"/>
          <w:tblCellSpacing w:w="0" w:type="dxa"/>
        </w:trPr>
        <w:tc>
          <w:tcPr>
            <w:tcW w:w="10018" w:type="dxa"/>
            <w:gridSpan w:val="1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68" w:type="dxa"/>
            <w:gridSpan w:val="8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8E2EB3" w:rsidRPr="00B06C64" w:rsidRDefault="00B06C6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10018" w:type="dxa"/>
            <w:gridSpan w:val="1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68" w:type="dxa"/>
            <w:gridSpan w:val="8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265" w:type="dxa"/>
            <w:gridSpan w:val="4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:rsidTr="00F656C1">
        <w:tblPrEx>
          <w:tblCellSpacing w:w="-6" w:type="dxa"/>
        </w:tblPrEx>
        <w:trPr>
          <w:gridAfter w:val="1"/>
          <w:wAfter w:w="91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265" w:type="dxa"/>
            <w:gridSpan w:val="4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8E2EB3" w:rsidRPr="008B25CE" w:rsidRDefault="008B25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736779" w:rsidRPr="00F257F4" w:rsidRDefault="00736779" w:rsidP="00736779">
      <w:pPr>
        <w:pStyle w:val="st14"/>
        <w:rPr>
          <w:rStyle w:val="st42"/>
          <w:u w:val="single"/>
        </w:rPr>
      </w:pPr>
      <w:r>
        <w:rPr>
          <w:rStyle w:val="st42"/>
        </w:rPr>
        <w:t>Підсумки _________</w:t>
      </w:r>
      <w:r>
        <w:rPr>
          <w:rStyle w:val="st42"/>
          <w:b/>
          <w:bCs/>
          <w:u w:val="single"/>
          <w:lang w:val="uk-UA"/>
        </w:rPr>
        <w:t>Б</w:t>
      </w:r>
      <w:r w:rsidRPr="00F257F4">
        <w:rPr>
          <w:rStyle w:val="st42"/>
          <w:b/>
          <w:bCs/>
          <w:u w:val="single"/>
          <w:lang w:val="uk-UA"/>
        </w:rPr>
        <w:t>ар'єрний</w:t>
      </w:r>
      <w:r>
        <w:rPr>
          <w:rStyle w:val="st42"/>
        </w:rPr>
        <w:t>_______*</w:t>
      </w:r>
    </w:p>
    <w:p w:rsidR="00736779" w:rsidRDefault="00736779" w:rsidP="00736779">
      <w:pPr>
        <w:pStyle w:val="st8"/>
        <w:rPr>
          <w:rStyle w:val="st82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  <w:t>* Зазначається: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736779" w:rsidRPr="00F257F4" w:rsidRDefault="00736779" w:rsidP="00736779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proofErr w:type="spellStart"/>
      <w:r w:rsidRPr="00F257F4">
        <w:rPr>
          <w:rStyle w:val="st42"/>
          <w:b/>
          <w:bCs/>
          <w:lang w:val="uk-UA"/>
        </w:rPr>
        <w:t>Великосеверинівська</w:t>
      </w:r>
      <w:proofErr w:type="spellEnd"/>
      <w:r w:rsidRPr="00F257F4">
        <w:rPr>
          <w:rStyle w:val="st42"/>
          <w:b/>
          <w:bCs/>
          <w:lang w:val="uk-UA"/>
        </w:rPr>
        <w:t xml:space="preserve"> сільська рада</w:t>
      </w:r>
    </w:p>
    <w:p w:rsidR="008E2EB3" w:rsidRPr="00736779" w:rsidRDefault="008E2EB3">
      <w:pPr>
        <w:pStyle w:val="st14"/>
        <w:rPr>
          <w:rStyle w:val="st42"/>
          <w:lang w:val="uk-UA"/>
        </w:rPr>
      </w:pPr>
    </w:p>
    <w:p w:rsidR="004D02AA" w:rsidRPr="00EC603A" w:rsidRDefault="00EC603A">
      <w:pPr>
        <w:pStyle w:val="st14"/>
        <w:rPr>
          <w:rStyle w:val="st42"/>
          <w:lang w:val="uk-UA"/>
        </w:rPr>
      </w:pPr>
      <w:r>
        <w:rPr>
          <w:rStyle w:val="st42"/>
        </w:rPr>
        <w:t>“_25</w:t>
      </w:r>
      <w:r w:rsidR="004D02AA">
        <w:rPr>
          <w:rStyle w:val="st42"/>
        </w:rPr>
        <w:t>_” __</w:t>
      </w:r>
      <w:r>
        <w:rPr>
          <w:rStyle w:val="st42"/>
          <w:lang w:val="uk-UA"/>
        </w:rPr>
        <w:t>вересня</w:t>
      </w:r>
      <w:r w:rsidR="004D02AA">
        <w:rPr>
          <w:rStyle w:val="st42"/>
        </w:rPr>
        <w:t>__ 20</w:t>
      </w:r>
      <w:r>
        <w:rPr>
          <w:rStyle w:val="st42"/>
          <w:lang w:val="uk-UA"/>
        </w:rPr>
        <w:t>24</w:t>
      </w:r>
      <w:r w:rsidR="004D02AA">
        <w:rPr>
          <w:rStyle w:val="st42"/>
        </w:rPr>
        <w:t xml:space="preserve">  р.</w:t>
      </w:r>
    </w:p>
    <w:sectPr w:rsidR="004D02AA" w:rsidRPr="00EC603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948DF"/>
    <w:rsid w:val="0020189E"/>
    <w:rsid w:val="004A55B4"/>
    <w:rsid w:val="004D02AA"/>
    <w:rsid w:val="00651C40"/>
    <w:rsid w:val="00670C4F"/>
    <w:rsid w:val="00736779"/>
    <w:rsid w:val="008B25CE"/>
    <w:rsid w:val="008E2EB3"/>
    <w:rsid w:val="00A26BE9"/>
    <w:rsid w:val="00AB1DD6"/>
    <w:rsid w:val="00B06C64"/>
    <w:rsid w:val="00B63627"/>
    <w:rsid w:val="00BE0ABD"/>
    <w:rsid w:val="00C60A2E"/>
    <w:rsid w:val="00C62E00"/>
    <w:rsid w:val="00D11A43"/>
    <w:rsid w:val="00D341C8"/>
    <w:rsid w:val="00DD40AD"/>
    <w:rsid w:val="00EC603A"/>
    <w:rsid w:val="00F361BC"/>
    <w:rsid w:val="00F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6ECA4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1946</Words>
  <Characters>12055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2024-09-27T07:37:00Z</dcterms:created>
  <dcterms:modified xsi:type="dcterms:W3CDTF">2024-09-27T07:37:00Z</dcterms:modified>
</cp:coreProperties>
</file>